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C97CF" w14:textId="27F4FD85" w:rsidR="00154698" w:rsidRPr="00FF6BD7" w:rsidRDefault="002875CC" w:rsidP="00CD2AC9">
      <w:pPr>
        <w:pStyle w:val="NoSpacing"/>
        <w:jc w:val="center"/>
        <w:rPr>
          <w:b/>
          <w:bCs/>
          <w:sz w:val="24"/>
          <w:szCs w:val="24"/>
        </w:rPr>
      </w:pPr>
      <w:r w:rsidRPr="00FF6BD7">
        <w:rPr>
          <w:b/>
          <w:bCs/>
          <w:sz w:val="24"/>
          <w:szCs w:val="24"/>
        </w:rPr>
        <w:t>A</w:t>
      </w:r>
      <w:r w:rsidRPr="00FF6BD7">
        <w:rPr>
          <w:b/>
          <w:bCs/>
          <w:spacing w:val="-1"/>
          <w:sz w:val="24"/>
          <w:szCs w:val="24"/>
        </w:rPr>
        <w:t>N</w:t>
      </w:r>
      <w:r w:rsidRPr="00FF6BD7">
        <w:rPr>
          <w:b/>
          <w:bCs/>
          <w:sz w:val="24"/>
          <w:szCs w:val="24"/>
        </w:rPr>
        <w:t>ALI</w:t>
      </w:r>
      <w:r w:rsidRPr="00FF6BD7">
        <w:rPr>
          <w:b/>
          <w:bCs/>
          <w:spacing w:val="1"/>
          <w:sz w:val="24"/>
          <w:szCs w:val="24"/>
        </w:rPr>
        <w:t>S</w:t>
      </w:r>
      <w:r w:rsidRPr="00FF6BD7">
        <w:rPr>
          <w:b/>
          <w:bCs/>
          <w:sz w:val="24"/>
          <w:szCs w:val="24"/>
        </w:rPr>
        <w:t>IS</w:t>
      </w:r>
      <w:r w:rsidRPr="00FF6BD7">
        <w:rPr>
          <w:b/>
          <w:bCs/>
          <w:spacing w:val="1"/>
          <w:sz w:val="24"/>
          <w:szCs w:val="24"/>
        </w:rPr>
        <w:t xml:space="preserve"> </w:t>
      </w:r>
      <w:r w:rsidR="000B245B" w:rsidRPr="00FF6BD7">
        <w:rPr>
          <w:b/>
          <w:bCs/>
          <w:sz w:val="24"/>
          <w:szCs w:val="24"/>
        </w:rPr>
        <w:t>EKSPLORASI DAN VISUALISASI DIVIDEN UNTUK REKOMENDASI INVESTASI PADA SEKTOR PERBANKAN</w:t>
      </w:r>
    </w:p>
    <w:p w14:paraId="2B88C5CE" w14:textId="77777777" w:rsidR="00154698" w:rsidRPr="00FF6BD7" w:rsidRDefault="00154698" w:rsidP="00EA48DE">
      <w:pPr>
        <w:spacing w:line="276" w:lineRule="auto"/>
      </w:pPr>
    </w:p>
    <w:p w14:paraId="39192F00" w14:textId="77777777" w:rsidR="00154698" w:rsidRPr="00FF6BD7" w:rsidRDefault="00154698" w:rsidP="00EA48DE">
      <w:pPr>
        <w:spacing w:before="19" w:line="276" w:lineRule="auto"/>
        <w:rPr>
          <w:sz w:val="22"/>
          <w:szCs w:val="22"/>
        </w:rPr>
      </w:pPr>
    </w:p>
    <w:p w14:paraId="162CF190" w14:textId="1344F6AB" w:rsidR="00154698" w:rsidRPr="00FF6BD7" w:rsidRDefault="000B245B" w:rsidP="00EA48DE">
      <w:pPr>
        <w:spacing w:line="276" w:lineRule="auto"/>
        <w:ind w:right="33"/>
        <w:jc w:val="center"/>
        <w:rPr>
          <w:sz w:val="14"/>
          <w:szCs w:val="14"/>
        </w:rPr>
      </w:pPr>
      <w:r w:rsidRPr="00FF6BD7">
        <w:rPr>
          <w:b/>
          <w:spacing w:val="1"/>
          <w:sz w:val="22"/>
          <w:szCs w:val="22"/>
        </w:rPr>
        <w:t>Puji Lestari</w:t>
      </w:r>
      <w:r w:rsidR="00D74443" w:rsidRPr="00FF6BD7">
        <w:rPr>
          <w:b/>
          <w:spacing w:val="1"/>
          <w:sz w:val="22"/>
          <w:szCs w:val="22"/>
        </w:rPr>
        <w:t>, Imam Tahyudin, Retno Waluyo</w:t>
      </w:r>
    </w:p>
    <w:p w14:paraId="553BDDA1" w14:textId="37DE78AD" w:rsidR="00154698" w:rsidRPr="00FF6BD7" w:rsidRDefault="002875CC" w:rsidP="00EA48DE">
      <w:pPr>
        <w:spacing w:line="276" w:lineRule="auto"/>
        <w:ind w:left="677" w:right="893"/>
        <w:jc w:val="center"/>
        <w:rPr>
          <w:sz w:val="22"/>
          <w:szCs w:val="22"/>
        </w:rPr>
      </w:pPr>
      <w:r w:rsidRPr="00FF6BD7">
        <w:rPr>
          <w:sz w:val="22"/>
          <w:szCs w:val="22"/>
        </w:rPr>
        <w:t>Si</w:t>
      </w:r>
      <w:r w:rsidRPr="00FF6BD7">
        <w:rPr>
          <w:spacing w:val="-1"/>
          <w:sz w:val="22"/>
          <w:szCs w:val="22"/>
        </w:rPr>
        <w:t>s</w:t>
      </w:r>
      <w:r w:rsidRPr="00FF6BD7">
        <w:rPr>
          <w:spacing w:val="1"/>
          <w:sz w:val="22"/>
          <w:szCs w:val="22"/>
        </w:rPr>
        <w:t>t</w:t>
      </w:r>
      <w:r w:rsidRPr="00FF6BD7">
        <w:rPr>
          <w:sz w:val="22"/>
          <w:szCs w:val="22"/>
        </w:rPr>
        <w:t>em</w:t>
      </w:r>
      <w:r w:rsidRPr="00FF6BD7">
        <w:rPr>
          <w:spacing w:val="-1"/>
          <w:sz w:val="22"/>
          <w:szCs w:val="22"/>
        </w:rPr>
        <w:t xml:space="preserve"> </w:t>
      </w:r>
      <w:r w:rsidRPr="00FF6BD7">
        <w:rPr>
          <w:spacing w:val="-4"/>
          <w:sz w:val="22"/>
          <w:szCs w:val="22"/>
        </w:rPr>
        <w:t>I</w:t>
      </w:r>
      <w:r w:rsidRPr="00FF6BD7">
        <w:rPr>
          <w:sz w:val="22"/>
          <w:szCs w:val="22"/>
        </w:rPr>
        <w:t>n</w:t>
      </w:r>
      <w:r w:rsidRPr="00FF6BD7">
        <w:rPr>
          <w:spacing w:val="1"/>
          <w:sz w:val="22"/>
          <w:szCs w:val="22"/>
        </w:rPr>
        <w:t>f</w:t>
      </w:r>
      <w:r w:rsidRPr="00FF6BD7">
        <w:rPr>
          <w:sz w:val="22"/>
          <w:szCs w:val="22"/>
        </w:rPr>
        <w:t>o</w:t>
      </w:r>
      <w:r w:rsidRPr="00FF6BD7">
        <w:rPr>
          <w:spacing w:val="1"/>
          <w:sz w:val="22"/>
          <w:szCs w:val="22"/>
        </w:rPr>
        <w:t>r</w:t>
      </w:r>
      <w:r w:rsidRPr="00FF6BD7">
        <w:rPr>
          <w:spacing w:val="-4"/>
          <w:sz w:val="22"/>
          <w:szCs w:val="22"/>
        </w:rPr>
        <w:t>m</w:t>
      </w:r>
      <w:r w:rsidRPr="00FF6BD7">
        <w:rPr>
          <w:sz w:val="22"/>
          <w:szCs w:val="22"/>
        </w:rPr>
        <w:t>a</w:t>
      </w:r>
      <w:r w:rsidRPr="00FF6BD7">
        <w:rPr>
          <w:spacing w:val="1"/>
          <w:sz w:val="22"/>
          <w:szCs w:val="22"/>
        </w:rPr>
        <w:t>s</w:t>
      </w:r>
      <w:r w:rsidRPr="00FF6BD7">
        <w:rPr>
          <w:spacing w:val="3"/>
          <w:sz w:val="22"/>
          <w:szCs w:val="22"/>
        </w:rPr>
        <w:t>i</w:t>
      </w:r>
      <w:r w:rsidRPr="00FF6BD7">
        <w:rPr>
          <w:sz w:val="22"/>
          <w:szCs w:val="22"/>
        </w:rPr>
        <w:t>, Fa</w:t>
      </w:r>
      <w:r w:rsidRPr="00FF6BD7">
        <w:rPr>
          <w:spacing w:val="-2"/>
          <w:sz w:val="22"/>
          <w:szCs w:val="22"/>
        </w:rPr>
        <w:t>k</w:t>
      </w:r>
      <w:r w:rsidRPr="00FF6BD7">
        <w:rPr>
          <w:sz w:val="22"/>
          <w:szCs w:val="22"/>
        </w:rPr>
        <w:t>u</w:t>
      </w:r>
      <w:r w:rsidRPr="00FF6BD7">
        <w:rPr>
          <w:spacing w:val="1"/>
          <w:sz w:val="22"/>
          <w:szCs w:val="22"/>
        </w:rPr>
        <w:t>l</w:t>
      </w:r>
      <w:r w:rsidRPr="00FF6BD7">
        <w:rPr>
          <w:spacing w:val="-1"/>
          <w:sz w:val="22"/>
          <w:szCs w:val="22"/>
        </w:rPr>
        <w:t>t</w:t>
      </w:r>
      <w:r w:rsidRPr="00FF6BD7">
        <w:rPr>
          <w:sz w:val="22"/>
          <w:szCs w:val="22"/>
        </w:rPr>
        <w:t>as</w:t>
      </w:r>
      <w:r w:rsidRPr="00FF6BD7">
        <w:rPr>
          <w:spacing w:val="1"/>
          <w:sz w:val="22"/>
          <w:szCs w:val="22"/>
        </w:rPr>
        <w:t xml:space="preserve"> </w:t>
      </w:r>
      <w:r w:rsidRPr="00FF6BD7">
        <w:rPr>
          <w:spacing w:val="-4"/>
          <w:sz w:val="22"/>
          <w:szCs w:val="22"/>
        </w:rPr>
        <w:t>I</w:t>
      </w:r>
      <w:r w:rsidRPr="00FF6BD7">
        <w:rPr>
          <w:spacing w:val="3"/>
          <w:sz w:val="22"/>
          <w:szCs w:val="22"/>
        </w:rPr>
        <w:t>l</w:t>
      </w:r>
      <w:r w:rsidRPr="00FF6BD7">
        <w:rPr>
          <w:spacing w:val="-4"/>
          <w:sz w:val="22"/>
          <w:szCs w:val="22"/>
        </w:rPr>
        <w:t>m</w:t>
      </w:r>
      <w:r w:rsidRPr="00FF6BD7">
        <w:rPr>
          <w:sz w:val="22"/>
          <w:szCs w:val="22"/>
        </w:rPr>
        <w:t xml:space="preserve">u </w:t>
      </w:r>
      <w:r w:rsidRPr="00FF6BD7">
        <w:rPr>
          <w:spacing w:val="1"/>
          <w:sz w:val="22"/>
          <w:szCs w:val="22"/>
        </w:rPr>
        <w:t>K</w:t>
      </w:r>
      <w:r w:rsidRPr="00FF6BD7">
        <w:rPr>
          <w:sz w:val="22"/>
          <w:szCs w:val="22"/>
        </w:rPr>
        <w:t>o</w:t>
      </w:r>
      <w:r w:rsidRPr="00FF6BD7">
        <w:rPr>
          <w:spacing w:val="-4"/>
          <w:sz w:val="22"/>
          <w:szCs w:val="22"/>
        </w:rPr>
        <w:t>m</w:t>
      </w:r>
      <w:r w:rsidRPr="00FF6BD7">
        <w:rPr>
          <w:sz w:val="22"/>
          <w:szCs w:val="22"/>
        </w:rPr>
        <w:t>pu</w:t>
      </w:r>
      <w:r w:rsidRPr="00FF6BD7">
        <w:rPr>
          <w:spacing w:val="1"/>
          <w:sz w:val="22"/>
          <w:szCs w:val="22"/>
        </w:rPr>
        <w:t>t</w:t>
      </w:r>
      <w:r w:rsidRPr="00FF6BD7">
        <w:rPr>
          <w:sz w:val="22"/>
          <w:szCs w:val="22"/>
        </w:rPr>
        <w:t>e</w:t>
      </w:r>
      <w:r w:rsidRPr="00FF6BD7">
        <w:rPr>
          <w:spacing w:val="1"/>
          <w:sz w:val="22"/>
          <w:szCs w:val="22"/>
        </w:rPr>
        <w:t>r</w:t>
      </w:r>
      <w:r w:rsidRPr="00FF6BD7">
        <w:rPr>
          <w:sz w:val="22"/>
          <w:szCs w:val="22"/>
        </w:rPr>
        <w:t xml:space="preserve">, </w:t>
      </w:r>
      <w:r w:rsidRPr="00FF6BD7">
        <w:rPr>
          <w:spacing w:val="-1"/>
          <w:sz w:val="22"/>
          <w:szCs w:val="22"/>
        </w:rPr>
        <w:t>U</w:t>
      </w:r>
      <w:r w:rsidRPr="00FF6BD7">
        <w:rPr>
          <w:spacing w:val="-2"/>
          <w:sz w:val="22"/>
          <w:szCs w:val="22"/>
        </w:rPr>
        <w:t>n</w:t>
      </w:r>
      <w:r w:rsidRPr="00FF6BD7">
        <w:rPr>
          <w:spacing w:val="1"/>
          <w:sz w:val="22"/>
          <w:szCs w:val="22"/>
        </w:rPr>
        <w:t>i</w:t>
      </w:r>
      <w:r w:rsidRPr="00FF6BD7">
        <w:rPr>
          <w:spacing w:val="-2"/>
          <w:sz w:val="22"/>
          <w:szCs w:val="22"/>
        </w:rPr>
        <w:t>v</w:t>
      </w:r>
      <w:r w:rsidRPr="00FF6BD7">
        <w:rPr>
          <w:sz w:val="22"/>
          <w:szCs w:val="22"/>
        </w:rPr>
        <w:t>e</w:t>
      </w:r>
      <w:r w:rsidRPr="00FF6BD7">
        <w:rPr>
          <w:spacing w:val="1"/>
          <w:sz w:val="22"/>
          <w:szCs w:val="22"/>
        </w:rPr>
        <w:t>r</w:t>
      </w:r>
      <w:r w:rsidRPr="00FF6BD7">
        <w:rPr>
          <w:spacing w:val="-2"/>
          <w:sz w:val="22"/>
          <w:szCs w:val="22"/>
        </w:rPr>
        <w:t>s</w:t>
      </w:r>
      <w:r w:rsidRPr="00FF6BD7">
        <w:rPr>
          <w:spacing w:val="1"/>
          <w:sz w:val="22"/>
          <w:szCs w:val="22"/>
        </w:rPr>
        <w:t>it</w:t>
      </w:r>
      <w:r w:rsidRPr="00FF6BD7">
        <w:rPr>
          <w:spacing w:val="-2"/>
          <w:sz w:val="22"/>
          <w:szCs w:val="22"/>
        </w:rPr>
        <w:t>a</w:t>
      </w:r>
      <w:r w:rsidRPr="00FF6BD7">
        <w:rPr>
          <w:sz w:val="22"/>
          <w:szCs w:val="22"/>
        </w:rPr>
        <w:t>s A</w:t>
      </w:r>
      <w:r w:rsidRPr="00FF6BD7">
        <w:rPr>
          <w:spacing w:val="-4"/>
          <w:sz w:val="22"/>
          <w:szCs w:val="22"/>
        </w:rPr>
        <w:t>m</w:t>
      </w:r>
      <w:r w:rsidRPr="00FF6BD7">
        <w:rPr>
          <w:spacing w:val="1"/>
          <w:sz w:val="22"/>
          <w:szCs w:val="22"/>
        </w:rPr>
        <w:t>i</w:t>
      </w:r>
      <w:r w:rsidRPr="00FF6BD7">
        <w:rPr>
          <w:spacing w:val="-2"/>
          <w:sz w:val="22"/>
          <w:szCs w:val="22"/>
        </w:rPr>
        <w:t>k</w:t>
      </w:r>
      <w:r w:rsidRPr="00FF6BD7">
        <w:rPr>
          <w:spacing w:val="2"/>
          <w:sz w:val="22"/>
          <w:szCs w:val="22"/>
        </w:rPr>
        <w:t>o</w:t>
      </w:r>
      <w:r w:rsidRPr="00FF6BD7">
        <w:rPr>
          <w:sz w:val="22"/>
          <w:szCs w:val="22"/>
        </w:rPr>
        <w:t>m</w:t>
      </w:r>
      <w:r w:rsidRPr="00FF6BD7">
        <w:rPr>
          <w:spacing w:val="-4"/>
          <w:sz w:val="22"/>
          <w:szCs w:val="22"/>
        </w:rPr>
        <w:t xml:space="preserve"> </w:t>
      </w:r>
      <w:r w:rsidRPr="00FF6BD7">
        <w:rPr>
          <w:sz w:val="22"/>
          <w:szCs w:val="22"/>
        </w:rPr>
        <w:t>Purwo</w:t>
      </w:r>
      <w:r w:rsidRPr="00FF6BD7">
        <w:rPr>
          <w:spacing w:val="-3"/>
          <w:sz w:val="22"/>
          <w:szCs w:val="22"/>
        </w:rPr>
        <w:t>k</w:t>
      </w:r>
      <w:r w:rsidRPr="00FF6BD7">
        <w:rPr>
          <w:sz w:val="22"/>
          <w:szCs w:val="22"/>
        </w:rPr>
        <w:t>e</w:t>
      </w:r>
      <w:r w:rsidRPr="00FF6BD7">
        <w:rPr>
          <w:spacing w:val="1"/>
          <w:sz w:val="22"/>
          <w:szCs w:val="22"/>
        </w:rPr>
        <w:t>rt</w:t>
      </w:r>
      <w:r w:rsidRPr="00FF6BD7">
        <w:rPr>
          <w:sz w:val="22"/>
          <w:szCs w:val="22"/>
        </w:rPr>
        <w:t>o</w:t>
      </w:r>
    </w:p>
    <w:p w14:paraId="74B24BCB" w14:textId="6B33BAA9" w:rsidR="00154698" w:rsidRPr="00FF6BD7" w:rsidRDefault="002875CC" w:rsidP="00EA48DE">
      <w:pPr>
        <w:spacing w:line="276" w:lineRule="auto"/>
        <w:ind w:right="33"/>
        <w:jc w:val="center"/>
        <w:rPr>
          <w:sz w:val="22"/>
          <w:szCs w:val="22"/>
        </w:rPr>
      </w:pPr>
      <w:r w:rsidRPr="00FF6BD7">
        <w:rPr>
          <w:sz w:val="22"/>
          <w:szCs w:val="22"/>
        </w:rPr>
        <w:t>E</w:t>
      </w:r>
      <w:r w:rsidRPr="00FF6BD7">
        <w:rPr>
          <w:spacing w:val="-4"/>
          <w:sz w:val="22"/>
          <w:szCs w:val="22"/>
        </w:rPr>
        <w:t>m</w:t>
      </w:r>
      <w:r w:rsidRPr="00FF6BD7">
        <w:rPr>
          <w:sz w:val="22"/>
          <w:szCs w:val="22"/>
        </w:rPr>
        <w:t>a</w:t>
      </w:r>
      <w:r w:rsidRPr="00FF6BD7">
        <w:rPr>
          <w:spacing w:val="1"/>
          <w:sz w:val="22"/>
          <w:szCs w:val="22"/>
        </w:rPr>
        <w:t>i</w:t>
      </w:r>
      <w:r w:rsidRPr="00FF6BD7">
        <w:rPr>
          <w:sz w:val="22"/>
          <w:szCs w:val="22"/>
        </w:rPr>
        <w:t>l</w:t>
      </w:r>
      <w:r w:rsidRPr="00FF6BD7">
        <w:rPr>
          <w:spacing w:val="1"/>
          <w:sz w:val="22"/>
          <w:szCs w:val="22"/>
        </w:rPr>
        <w:t xml:space="preserve"> </w:t>
      </w:r>
      <w:hyperlink r:id="rId8" w:history="1">
        <w:r w:rsidR="000B245B" w:rsidRPr="00FF6BD7">
          <w:rPr>
            <w:rStyle w:val="Hyperlink"/>
            <w:sz w:val="22"/>
            <w:szCs w:val="22"/>
          </w:rPr>
          <w:t>:</w:t>
        </w:r>
        <w:r w:rsidR="000B245B" w:rsidRPr="00FF6BD7">
          <w:rPr>
            <w:rStyle w:val="Hyperlink"/>
            <w:spacing w:val="1"/>
            <w:sz w:val="22"/>
            <w:szCs w:val="22"/>
          </w:rPr>
          <w:t xml:space="preserve"> </w:t>
        </w:r>
        <w:r w:rsidR="000B245B" w:rsidRPr="00FF6BD7">
          <w:rPr>
            <w:rStyle w:val="Hyperlink"/>
            <w:spacing w:val="-1"/>
            <w:sz w:val="22"/>
            <w:szCs w:val="22"/>
          </w:rPr>
          <w:t>puji24318</w:t>
        </w:r>
        <w:r w:rsidR="000B245B" w:rsidRPr="00FF6BD7">
          <w:rPr>
            <w:rStyle w:val="Hyperlink"/>
            <w:spacing w:val="-2"/>
            <w:sz w:val="22"/>
            <w:szCs w:val="22"/>
          </w:rPr>
          <w:t>@</w:t>
        </w:r>
        <w:r w:rsidR="000B245B" w:rsidRPr="00FF6BD7">
          <w:rPr>
            <w:rStyle w:val="Hyperlink"/>
            <w:sz w:val="22"/>
            <w:szCs w:val="22"/>
          </w:rPr>
          <w:t>g</w:t>
        </w:r>
        <w:r w:rsidR="000B245B" w:rsidRPr="00FF6BD7">
          <w:rPr>
            <w:rStyle w:val="Hyperlink"/>
            <w:spacing w:val="-4"/>
            <w:sz w:val="22"/>
            <w:szCs w:val="22"/>
          </w:rPr>
          <w:t>m</w:t>
        </w:r>
        <w:r w:rsidR="000B245B" w:rsidRPr="00FF6BD7">
          <w:rPr>
            <w:rStyle w:val="Hyperlink"/>
            <w:sz w:val="22"/>
            <w:szCs w:val="22"/>
          </w:rPr>
          <w:t>a</w:t>
        </w:r>
        <w:r w:rsidR="000B245B" w:rsidRPr="00FF6BD7">
          <w:rPr>
            <w:rStyle w:val="Hyperlink"/>
            <w:spacing w:val="1"/>
            <w:sz w:val="22"/>
            <w:szCs w:val="22"/>
          </w:rPr>
          <w:t>il</w:t>
        </w:r>
        <w:r w:rsidR="000B245B" w:rsidRPr="00FF6BD7">
          <w:rPr>
            <w:rStyle w:val="Hyperlink"/>
            <w:sz w:val="22"/>
            <w:szCs w:val="22"/>
          </w:rPr>
          <w:t>.</w:t>
        </w:r>
        <w:r w:rsidR="000B245B" w:rsidRPr="00FF6BD7">
          <w:rPr>
            <w:rStyle w:val="Hyperlink"/>
            <w:spacing w:val="-2"/>
            <w:sz w:val="22"/>
            <w:szCs w:val="22"/>
          </w:rPr>
          <w:t>c</w:t>
        </w:r>
        <w:r w:rsidR="000B245B" w:rsidRPr="00FF6BD7">
          <w:rPr>
            <w:rStyle w:val="Hyperlink"/>
            <w:sz w:val="22"/>
            <w:szCs w:val="22"/>
          </w:rPr>
          <w:t>om</w:t>
        </w:r>
      </w:hyperlink>
    </w:p>
    <w:p w14:paraId="77129092" w14:textId="77777777" w:rsidR="00154698" w:rsidRPr="00FF6BD7" w:rsidRDefault="00154698" w:rsidP="00EA48DE">
      <w:pPr>
        <w:spacing w:line="276" w:lineRule="auto"/>
      </w:pPr>
    </w:p>
    <w:p w14:paraId="1E412B8D" w14:textId="77777777" w:rsidR="00154698" w:rsidRPr="00FF6BD7" w:rsidRDefault="00154698" w:rsidP="00EA48DE">
      <w:pPr>
        <w:spacing w:line="276" w:lineRule="auto"/>
      </w:pPr>
    </w:p>
    <w:p w14:paraId="45307319" w14:textId="77777777" w:rsidR="00154698" w:rsidRPr="00FF6BD7" w:rsidRDefault="00154698" w:rsidP="00EA48DE">
      <w:pPr>
        <w:spacing w:before="15" w:line="276" w:lineRule="auto"/>
        <w:rPr>
          <w:sz w:val="28"/>
          <w:szCs w:val="28"/>
        </w:rPr>
      </w:pPr>
    </w:p>
    <w:p w14:paraId="6EBC6CBB" w14:textId="77777777" w:rsidR="00154698" w:rsidRPr="00FF6BD7" w:rsidRDefault="002875CC" w:rsidP="00EA48DE">
      <w:pPr>
        <w:spacing w:line="276" w:lineRule="auto"/>
        <w:ind w:left="3661" w:right="3873"/>
        <w:jc w:val="center"/>
        <w:rPr>
          <w:sz w:val="22"/>
          <w:szCs w:val="22"/>
        </w:rPr>
      </w:pPr>
      <w:r w:rsidRPr="00FF6BD7">
        <w:rPr>
          <w:b/>
          <w:spacing w:val="-1"/>
          <w:sz w:val="22"/>
          <w:szCs w:val="22"/>
        </w:rPr>
        <w:t>A</w:t>
      </w:r>
      <w:r w:rsidRPr="00FF6BD7">
        <w:rPr>
          <w:b/>
          <w:spacing w:val="1"/>
          <w:sz w:val="22"/>
          <w:szCs w:val="22"/>
        </w:rPr>
        <w:t>B</w:t>
      </w:r>
      <w:r w:rsidRPr="00FF6BD7">
        <w:rPr>
          <w:b/>
          <w:sz w:val="22"/>
          <w:szCs w:val="22"/>
        </w:rPr>
        <w:t>S</w:t>
      </w:r>
      <w:r w:rsidRPr="00FF6BD7">
        <w:rPr>
          <w:b/>
          <w:spacing w:val="-1"/>
          <w:sz w:val="22"/>
          <w:szCs w:val="22"/>
        </w:rPr>
        <w:t>TRA</w:t>
      </w:r>
      <w:r w:rsidRPr="00FF6BD7">
        <w:rPr>
          <w:b/>
          <w:sz w:val="22"/>
          <w:szCs w:val="22"/>
        </w:rPr>
        <w:t>K</w:t>
      </w:r>
    </w:p>
    <w:p w14:paraId="4DA43C4A" w14:textId="77777777" w:rsidR="00154698" w:rsidRPr="00FF6BD7" w:rsidRDefault="00154698" w:rsidP="00EA48DE">
      <w:pPr>
        <w:spacing w:line="276" w:lineRule="auto"/>
        <w:rPr>
          <w:sz w:val="17"/>
          <w:szCs w:val="17"/>
        </w:rPr>
      </w:pPr>
    </w:p>
    <w:p w14:paraId="7E4BEDC0" w14:textId="44A4689C" w:rsidR="00154698" w:rsidRPr="002739C8" w:rsidRDefault="00940823" w:rsidP="002739C8">
      <w:pPr>
        <w:spacing w:line="276" w:lineRule="auto"/>
        <w:ind w:left="102" w:right="171"/>
        <w:jc w:val="both"/>
        <w:rPr>
          <w:i/>
          <w:sz w:val="22"/>
          <w:szCs w:val="22"/>
        </w:rPr>
      </w:pPr>
      <w:r w:rsidRPr="00FF6BD7">
        <w:rPr>
          <w:iCs/>
          <w:spacing w:val="-1"/>
          <w:sz w:val="22"/>
          <w:szCs w:val="22"/>
        </w:rPr>
        <w:t>Investasi adalah pengikatan pada sejumlah uang atau aset lain yang dilakukan saat ini dengan harapan memperoleh keuntungan di masa depan. Sektor perbankan menjadi sektor keuangan yang dapat dijadikan sebagai pilihan dalam melakukan investasi. Keuntungan yang paling diharapkan ketika seseorang melakukan investasi yaitu perolehan dividen. Sebelum melakukan investasi, penting bagi investor untuk melakukan analisis dari data-data dividen yang dibagikan perusahaan bank agar investor dapat mengetahui gambaran keuntungan yang diperolehnya. Pada penelitian ini dilakukan analisis eksplorasi dan visualisasi data dividen yang diambil dari platform resm</w:t>
      </w:r>
      <w:r w:rsidR="001A01D0" w:rsidRPr="00FF6BD7">
        <w:rPr>
          <w:iCs/>
          <w:spacing w:val="-1"/>
          <w:sz w:val="22"/>
          <w:szCs w:val="22"/>
        </w:rPr>
        <w:t xml:space="preserve">i catatan dividen yang bertujuan untuk memberikan rekomendasi bank yang dapat dijadikan sebagai tempat berinvestasi dan mendapatkan keuntungan yang maksimal bagi investor. Sampel dipilih dengan menggunakan metode </w:t>
      </w:r>
      <w:r w:rsidR="001A01D0" w:rsidRPr="00FF6BD7">
        <w:rPr>
          <w:i/>
          <w:spacing w:val="-1"/>
          <w:sz w:val="22"/>
          <w:szCs w:val="22"/>
        </w:rPr>
        <w:t>purposive sampling</w:t>
      </w:r>
      <w:r w:rsidR="001A01D0" w:rsidRPr="00FF6BD7">
        <w:rPr>
          <w:iCs/>
          <w:spacing w:val="-1"/>
          <w:sz w:val="22"/>
          <w:szCs w:val="22"/>
        </w:rPr>
        <w:t xml:space="preserve">, diperoleh 7 sampel bank pada penelitian ini. Metode pengolahan data dilakukan dengan menggunakan tools </w:t>
      </w:r>
      <w:r w:rsidR="001A01D0" w:rsidRPr="00FF6BD7">
        <w:rPr>
          <w:i/>
          <w:spacing w:val="-1"/>
          <w:sz w:val="22"/>
          <w:szCs w:val="22"/>
        </w:rPr>
        <w:t>Python</w:t>
      </w:r>
      <w:r w:rsidR="001A01D0" w:rsidRPr="00FF6BD7">
        <w:rPr>
          <w:iCs/>
          <w:spacing w:val="-1"/>
          <w:sz w:val="22"/>
          <w:szCs w:val="22"/>
        </w:rPr>
        <w:t xml:space="preserve"> dan visualisasi dengan menggunakan Tableau Desktop. Hasil yang diperoleh dari analisis dalam penelitian ini yaitu didapatkan rekomendasi bank sebagai tempat melakukan investasi, yaitu PT. Bank Asia Central Tbk., dan PT.</w:t>
      </w:r>
      <w:r w:rsidR="001B4C22" w:rsidRPr="00FF6BD7">
        <w:rPr>
          <w:iCs/>
          <w:spacing w:val="-1"/>
          <w:sz w:val="22"/>
          <w:szCs w:val="22"/>
        </w:rPr>
        <w:t xml:space="preserve"> Bank Mandiri (Persero) Tbk.</w:t>
      </w:r>
    </w:p>
    <w:p w14:paraId="41ECD85C" w14:textId="02D5DF5B" w:rsidR="00154698" w:rsidRPr="00FF6BD7" w:rsidRDefault="002875CC" w:rsidP="00EA48DE">
      <w:pPr>
        <w:spacing w:line="276" w:lineRule="auto"/>
        <w:ind w:left="102"/>
        <w:rPr>
          <w:sz w:val="22"/>
          <w:szCs w:val="22"/>
        </w:rPr>
      </w:pPr>
      <w:r w:rsidRPr="00FF6BD7">
        <w:rPr>
          <w:spacing w:val="1"/>
          <w:sz w:val="22"/>
          <w:szCs w:val="22"/>
        </w:rPr>
        <w:t>K</w:t>
      </w:r>
      <w:r w:rsidRPr="00FF6BD7">
        <w:rPr>
          <w:spacing w:val="-2"/>
          <w:sz w:val="22"/>
          <w:szCs w:val="22"/>
        </w:rPr>
        <w:t>a</w:t>
      </w:r>
      <w:r w:rsidRPr="00FF6BD7">
        <w:rPr>
          <w:spacing w:val="1"/>
          <w:sz w:val="22"/>
          <w:szCs w:val="22"/>
        </w:rPr>
        <w:t>t</w:t>
      </w:r>
      <w:r w:rsidRPr="00FF6BD7">
        <w:rPr>
          <w:sz w:val="22"/>
          <w:szCs w:val="22"/>
        </w:rPr>
        <w:t>a</w:t>
      </w:r>
      <w:r w:rsidRPr="00FF6BD7">
        <w:rPr>
          <w:spacing w:val="-2"/>
          <w:sz w:val="22"/>
          <w:szCs w:val="22"/>
        </w:rPr>
        <w:t xml:space="preserve"> </w:t>
      </w:r>
      <w:r w:rsidRPr="00FF6BD7">
        <w:rPr>
          <w:spacing w:val="1"/>
          <w:sz w:val="22"/>
          <w:szCs w:val="22"/>
        </w:rPr>
        <w:t>K</w:t>
      </w:r>
      <w:r w:rsidRPr="00FF6BD7">
        <w:rPr>
          <w:sz w:val="22"/>
          <w:szCs w:val="22"/>
        </w:rPr>
        <w:t>un</w:t>
      </w:r>
      <w:r w:rsidRPr="00FF6BD7">
        <w:rPr>
          <w:spacing w:val="-2"/>
          <w:sz w:val="22"/>
          <w:szCs w:val="22"/>
        </w:rPr>
        <w:t>c</w:t>
      </w:r>
      <w:r w:rsidRPr="00FF6BD7">
        <w:rPr>
          <w:spacing w:val="-1"/>
          <w:sz w:val="22"/>
          <w:szCs w:val="22"/>
        </w:rPr>
        <w:t>i</w:t>
      </w:r>
      <w:r w:rsidRPr="00FF6BD7">
        <w:rPr>
          <w:sz w:val="22"/>
          <w:szCs w:val="22"/>
        </w:rPr>
        <w:t>:</w:t>
      </w:r>
      <w:r w:rsidR="001B4C22" w:rsidRPr="00FF6BD7">
        <w:rPr>
          <w:spacing w:val="2"/>
          <w:sz w:val="22"/>
          <w:szCs w:val="22"/>
        </w:rPr>
        <w:t xml:space="preserve"> Eksplorasi, visualisasi, investasi, dividen</w:t>
      </w:r>
    </w:p>
    <w:p w14:paraId="363513C5" w14:textId="77777777" w:rsidR="00154698" w:rsidRPr="00FF6BD7" w:rsidRDefault="00154698" w:rsidP="00EA48DE">
      <w:pPr>
        <w:spacing w:line="276" w:lineRule="auto"/>
      </w:pPr>
    </w:p>
    <w:p w14:paraId="2D4437F2" w14:textId="77777777" w:rsidR="00154698" w:rsidRPr="00FF6BD7" w:rsidRDefault="00154698" w:rsidP="00EA48DE">
      <w:pPr>
        <w:spacing w:before="13" w:line="276" w:lineRule="auto"/>
        <w:rPr>
          <w:sz w:val="24"/>
          <w:szCs w:val="24"/>
        </w:rPr>
      </w:pPr>
    </w:p>
    <w:p w14:paraId="2D230E6A" w14:textId="77777777" w:rsidR="00154698" w:rsidRPr="00FF6BD7" w:rsidRDefault="002875CC" w:rsidP="00EA48DE">
      <w:pPr>
        <w:spacing w:line="276" w:lineRule="auto"/>
        <w:ind w:left="3635" w:right="3840"/>
        <w:jc w:val="center"/>
        <w:rPr>
          <w:sz w:val="22"/>
          <w:szCs w:val="22"/>
        </w:rPr>
      </w:pPr>
      <w:r w:rsidRPr="00FF6BD7">
        <w:rPr>
          <w:b/>
          <w:i/>
          <w:spacing w:val="-1"/>
          <w:sz w:val="22"/>
          <w:szCs w:val="22"/>
        </w:rPr>
        <w:t>AB</w:t>
      </w:r>
      <w:r w:rsidRPr="00FF6BD7">
        <w:rPr>
          <w:b/>
          <w:i/>
          <w:sz w:val="22"/>
          <w:szCs w:val="22"/>
        </w:rPr>
        <w:t>S</w:t>
      </w:r>
      <w:r w:rsidRPr="00FF6BD7">
        <w:rPr>
          <w:b/>
          <w:i/>
          <w:spacing w:val="-1"/>
          <w:sz w:val="22"/>
          <w:szCs w:val="22"/>
        </w:rPr>
        <w:t>TRAC</w:t>
      </w:r>
      <w:r w:rsidRPr="00FF6BD7">
        <w:rPr>
          <w:b/>
          <w:i/>
          <w:sz w:val="22"/>
          <w:szCs w:val="22"/>
        </w:rPr>
        <w:t>T</w:t>
      </w:r>
    </w:p>
    <w:p w14:paraId="34ECC7A2" w14:textId="77777777" w:rsidR="00154698" w:rsidRPr="00FF6BD7" w:rsidRDefault="00154698" w:rsidP="00EA48DE">
      <w:pPr>
        <w:spacing w:before="3" w:line="276" w:lineRule="auto"/>
        <w:rPr>
          <w:sz w:val="12"/>
          <w:szCs w:val="12"/>
        </w:rPr>
      </w:pPr>
    </w:p>
    <w:p w14:paraId="7AB3647F" w14:textId="77777777" w:rsidR="00154698" w:rsidRPr="00FF6BD7" w:rsidRDefault="00154698" w:rsidP="00EA48DE">
      <w:pPr>
        <w:spacing w:line="276" w:lineRule="auto"/>
      </w:pPr>
    </w:p>
    <w:p w14:paraId="16DD127F" w14:textId="3724F209" w:rsidR="00154698" w:rsidRPr="002739C8" w:rsidRDefault="001B4C22" w:rsidP="002739C8">
      <w:pPr>
        <w:spacing w:line="276" w:lineRule="auto"/>
        <w:ind w:left="102" w:right="169"/>
        <w:jc w:val="both"/>
        <w:rPr>
          <w:sz w:val="22"/>
          <w:szCs w:val="22"/>
        </w:rPr>
      </w:pPr>
      <w:r w:rsidRPr="00FF6BD7">
        <w:rPr>
          <w:i/>
          <w:iCs/>
          <w:color w:val="202124"/>
          <w:sz w:val="22"/>
          <w:szCs w:val="22"/>
          <w:lang w:val="en"/>
        </w:rPr>
        <w:t>An investment is a binding in a sum of money or other assets that is being made at this time with the hope of obtaining a profit in the future. The banking sector is a financial sector that can be used as an investment option. The most expected profit when someone makes an investment is the acquisition of dividends. Before making an investment, it is important for investors to carry out an analysis of dividend data distributed by bank companies so that investors can find out the picture of the profits they get. In this research, an exploratory analysis and visualization of dividend data were taken from the official dividend record platform which aims to provide bank recommendations that can be used as a place to invest and get maximum profits for investors. The sample was selected using purposive sampling method, 7 bank samples were obtained in this study. The data processing method is carried out using Python tools and visualization using Tableau Desktop. The results obtained from the analysis in this study are recommendations for banks as a place to invest, namely PT. Bank Asia Central Tbk., and PT. Bank Mandiri (Persero) Tbk.</w:t>
      </w:r>
    </w:p>
    <w:p w14:paraId="0F0C44E5" w14:textId="390D8D5C" w:rsidR="00876DB1" w:rsidRPr="00FF6BD7" w:rsidRDefault="002875CC" w:rsidP="00876DB1">
      <w:pPr>
        <w:spacing w:line="276" w:lineRule="auto"/>
        <w:ind w:left="102"/>
        <w:rPr>
          <w:i/>
          <w:iCs/>
          <w:sz w:val="22"/>
          <w:szCs w:val="22"/>
        </w:rPr>
      </w:pPr>
      <w:r w:rsidRPr="00FF6BD7">
        <w:rPr>
          <w:i/>
          <w:spacing w:val="-1"/>
          <w:sz w:val="22"/>
          <w:szCs w:val="22"/>
        </w:rPr>
        <w:t>K</w:t>
      </w:r>
      <w:r w:rsidRPr="00FF6BD7">
        <w:rPr>
          <w:i/>
          <w:sz w:val="22"/>
          <w:szCs w:val="22"/>
        </w:rPr>
        <w:t>ey</w:t>
      </w:r>
      <w:r w:rsidRPr="00FF6BD7">
        <w:rPr>
          <w:i/>
          <w:spacing w:val="-1"/>
          <w:sz w:val="22"/>
          <w:szCs w:val="22"/>
        </w:rPr>
        <w:t>w</w:t>
      </w:r>
      <w:r w:rsidRPr="00FF6BD7">
        <w:rPr>
          <w:i/>
          <w:sz w:val="22"/>
          <w:szCs w:val="22"/>
        </w:rPr>
        <w:t>ord</w:t>
      </w:r>
      <w:r w:rsidRPr="00FF6BD7">
        <w:rPr>
          <w:i/>
          <w:spacing w:val="-1"/>
          <w:sz w:val="22"/>
          <w:szCs w:val="22"/>
        </w:rPr>
        <w:t>s</w:t>
      </w:r>
      <w:r w:rsidRPr="00FF6BD7">
        <w:rPr>
          <w:i/>
          <w:sz w:val="22"/>
          <w:szCs w:val="22"/>
        </w:rPr>
        <w:t>:</w:t>
      </w:r>
      <w:r w:rsidRPr="00FF6BD7">
        <w:rPr>
          <w:i/>
          <w:spacing w:val="1"/>
          <w:sz w:val="22"/>
          <w:szCs w:val="22"/>
        </w:rPr>
        <w:t xml:space="preserve"> </w:t>
      </w:r>
      <w:r w:rsidR="001B4C22" w:rsidRPr="00FF6BD7">
        <w:rPr>
          <w:i/>
          <w:spacing w:val="1"/>
          <w:sz w:val="22"/>
          <w:szCs w:val="22"/>
        </w:rPr>
        <w:t>Exploration, visualization, investment, dividends</w:t>
      </w:r>
    </w:p>
    <w:p w14:paraId="3A1B4A55" w14:textId="64BBC2EE" w:rsidR="00154698" w:rsidRPr="00FF6BD7" w:rsidRDefault="00154698" w:rsidP="00EA48DE">
      <w:pPr>
        <w:spacing w:line="276" w:lineRule="auto"/>
        <w:ind w:left="102"/>
        <w:rPr>
          <w:sz w:val="22"/>
          <w:szCs w:val="22"/>
        </w:rPr>
        <w:sectPr w:rsidR="00154698" w:rsidRPr="00FF6BD7" w:rsidSect="00B67B79">
          <w:headerReference w:type="default" r:id="rId9"/>
          <w:footerReference w:type="default" r:id="rId10"/>
          <w:pgSz w:w="11920" w:h="16860"/>
          <w:pgMar w:top="1418" w:right="1418" w:bottom="1418" w:left="1701" w:header="794" w:footer="856" w:gutter="0"/>
          <w:pgNumType w:start="74"/>
          <w:cols w:space="720"/>
          <w:docGrid w:linePitch="272"/>
        </w:sectPr>
      </w:pPr>
      <w:bookmarkStart w:id="0" w:name="_GoBack"/>
      <w:bookmarkEnd w:id="0"/>
    </w:p>
    <w:p w14:paraId="5346FC71" w14:textId="368A3188" w:rsidR="00154698" w:rsidRPr="00FF6BD7" w:rsidRDefault="002875CC" w:rsidP="000308EE">
      <w:pPr>
        <w:pStyle w:val="ListParagraph"/>
        <w:numPr>
          <w:ilvl w:val="0"/>
          <w:numId w:val="16"/>
        </w:numPr>
        <w:spacing w:before="37" w:line="276" w:lineRule="auto"/>
        <w:ind w:left="284" w:right="2018" w:hanging="284"/>
        <w:jc w:val="both"/>
        <w:rPr>
          <w:rFonts w:ascii="Times New Roman" w:hAnsi="Times New Roman" w:cs="Times New Roman"/>
        </w:rPr>
      </w:pPr>
      <w:r w:rsidRPr="00FF6BD7">
        <w:rPr>
          <w:rFonts w:ascii="Times New Roman" w:hAnsi="Times New Roman" w:cs="Times New Roman"/>
          <w:b/>
          <w:spacing w:val="2"/>
        </w:rPr>
        <w:lastRenderedPageBreak/>
        <w:t>P</w:t>
      </w:r>
      <w:r w:rsidRPr="00FF6BD7">
        <w:rPr>
          <w:rFonts w:ascii="Times New Roman" w:hAnsi="Times New Roman" w:cs="Times New Roman"/>
          <w:b/>
          <w:spacing w:val="-1"/>
        </w:rPr>
        <w:t>ENDA</w:t>
      </w:r>
      <w:r w:rsidRPr="00FF6BD7">
        <w:rPr>
          <w:rFonts w:ascii="Times New Roman" w:hAnsi="Times New Roman" w:cs="Times New Roman"/>
          <w:b/>
          <w:spacing w:val="1"/>
        </w:rPr>
        <w:t>H</w:t>
      </w:r>
      <w:r w:rsidRPr="00FF6BD7">
        <w:rPr>
          <w:rFonts w:ascii="Times New Roman" w:hAnsi="Times New Roman" w:cs="Times New Roman"/>
          <w:b/>
          <w:spacing w:val="-1"/>
        </w:rPr>
        <w:t>ULUA</w:t>
      </w:r>
      <w:r w:rsidRPr="00FF6BD7">
        <w:rPr>
          <w:rFonts w:ascii="Times New Roman" w:hAnsi="Times New Roman" w:cs="Times New Roman"/>
          <w:b/>
        </w:rPr>
        <w:t>N</w:t>
      </w:r>
    </w:p>
    <w:p w14:paraId="271FC3E2" w14:textId="62CC5DFB" w:rsidR="005169B0" w:rsidRPr="00FF6BD7" w:rsidRDefault="000B245B"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Seiring berkembangnya zaman diperlukan adanya kegiatan</w:t>
      </w:r>
      <w:r w:rsidR="00FB76E4" w:rsidRPr="00FF6BD7">
        <w:rPr>
          <w:rFonts w:ascii="Times New Roman" w:hAnsi="Times New Roman" w:cs="Times New Roman"/>
          <w:lang w:val="en-US"/>
        </w:rPr>
        <w:t xml:space="preserve"> yang dapat menunjang keberlanjutan hidup masyarakat, terutama pada bidang perekonomian. Kegiatan pasar modal merupakan salah satu kegiatan yang dilakukan pada bidang tersebut.</w:t>
      </w:r>
      <w:r w:rsidR="005169B0" w:rsidRPr="00FF6BD7">
        <w:rPr>
          <w:rFonts w:ascii="Times New Roman" w:hAnsi="Times New Roman" w:cs="Times New Roman"/>
          <w:lang w:val="en-US"/>
        </w:rPr>
        <w:t xml:space="preserve"> Pasar modal Indonesia merupakan pasar yang sedang berkembang yang dalam pertumbuhannya sangat rentan terhadap situasi makroekonomi secara umum serta situasi ekonomi global dan pasar saham dunia </w:t>
      </w:r>
      <w:r w:rsidR="005169B0" w:rsidRPr="00FF6BD7">
        <w:rPr>
          <w:rFonts w:ascii="Times New Roman" w:hAnsi="Times New Roman" w:cs="Times New Roman"/>
          <w:lang w:val="en-US"/>
        </w:rPr>
        <w:fldChar w:fldCharType="begin" w:fldLock="1"/>
      </w:r>
      <w:r w:rsidR="005169B0" w:rsidRPr="00FF6BD7">
        <w:rPr>
          <w:rFonts w:ascii="Times New Roman" w:hAnsi="Times New Roman" w:cs="Times New Roman"/>
          <w:lang w:val="en-US"/>
        </w:rPr>
        <w:instrText>ADDIN CSL_CITATION {"citationItems":[{"id":"ITEM-1","itemData":{"DOI":"10.56709/mrj.v1i2.24","abstract":"The main indicator of economic health for any country is the capital market. Cities of Presence in Indonesia experience several ups and downs which can be seen from the fluctuating JCI indicator. As a result of globalization and economic integration, the work of currency exchange is very different from that of national, regional and international economics. Local investors are required to make a significant contribution to the Indonesian stock market to make it more resilient to various crises and dangers. With the rapid growth of Indonesia's youth population, there may be an opportunity that can be used to encourage people to refrain from active trading in the stock market. In addition, several other issues in capital development markets should be discussed, including the types of fixed price contracts transacted, policies to protect holder rights, the \"game\" involved in stock transactions, and a minimal level of understanding.\r Keywords: Capital Market, Development, Challenges","author":[{"dropping-particle":"","family":"Rorizki","given":"Fitri","non-dropping-particle":"","parse-names":false,"suffix":""},{"dropping-particle":"","family":"Sakinah","given":"Sakinah","non-dropping-particle":"","parse-names":false,"suffix":""},{"dropping-particle":"","family":"Dalimunthe","given":"Arpin","non-dropping-particle":"","parse-names":false,"suffix":""},{"dropping-particle":"","family":"Silalahi","given":"Purnama Ramadhani","non-dropping-particle":"","parse-names":false,"suffix":""}],"container-title":"Economic Reviews Journal","id":"ITEM-1","issue":"2","issued":{"date-parts":[["2022"]]},"page":"147-157","title":"Perkembangan dan Tantangan Pasar Modal Indonesia","type":"article-journal","volume":"1"},"uris":["http://www.mendeley.com/documents/?uuid=80f49102-b287-48ae-8794-5bbaf1c6895a"]}],"mendeley":{"formattedCitation":"(Rorizki et al., 2022)","plainTextFormattedCitation":"(Rorizki et al., 2022)","previouslyFormattedCitation":"(Rorizki et al., 2022)"},"properties":{"noteIndex":0},"schema":"https://github.com/citation-style-language/schema/raw/master/csl-citation.json"}</w:instrText>
      </w:r>
      <w:r w:rsidR="005169B0" w:rsidRPr="00FF6BD7">
        <w:rPr>
          <w:rFonts w:ascii="Times New Roman" w:hAnsi="Times New Roman" w:cs="Times New Roman"/>
          <w:lang w:val="en-US"/>
        </w:rPr>
        <w:fldChar w:fldCharType="separate"/>
      </w:r>
      <w:r w:rsidR="005169B0" w:rsidRPr="00FF6BD7">
        <w:rPr>
          <w:rFonts w:ascii="Times New Roman" w:hAnsi="Times New Roman" w:cs="Times New Roman"/>
          <w:noProof/>
          <w:lang w:val="en-US"/>
        </w:rPr>
        <w:t>(Rorizki et al., 2022)</w:t>
      </w:r>
      <w:r w:rsidR="005169B0" w:rsidRPr="00FF6BD7">
        <w:rPr>
          <w:rFonts w:ascii="Times New Roman" w:hAnsi="Times New Roman" w:cs="Times New Roman"/>
          <w:lang w:val="en-US"/>
        </w:rPr>
        <w:fldChar w:fldCharType="end"/>
      </w:r>
      <w:r w:rsidR="005169B0" w:rsidRPr="00FF6BD7">
        <w:rPr>
          <w:rFonts w:ascii="Times New Roman" w:hAnsi="Times New Roman" w:cs="Times New Roman"/>
          <w:lang w:val="en-US"/>
        </w:rPr>
        <w:t>.</w:t>
      </w:r>
      <w:r w:rsidR="00FB76E4" w:rsidRPr="00FF6BD7">
        <w:rPr>
          <w:rFonts w:ascii="Times New Roman" w:hAnsi="Times New Roman" w:cs="Times New Roman"/>
          <w:lang w:val="en-US"/>
        </w:rPr>
        <w:t xml:space="preserve"> </w:t>
      </w:r>
    </w:p>
    <w:p w14:paraId="23CEC2C1" w14:textId="36744FA2" w:rsidR="000B245B" w:rsidRPr="00FF6BD7" w:rsidRDefault="00FB76E4"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Dilansir dari</w:t>
      </w:r>
      <w:r w:rsidR="00674A43" w:rsidRPr="00FF6BD7">
        <w:rPr>
          <w:rFonts w:ascii="Times New Roman" w:hAnsi="Times New Roman" w:cs="Times New Roman"/>
          <w:lang w:val="en-US"/>
        </w:rPr>
        <w:t xml:space="preserve"> platform</w:t>
      </w:r>
      <w:r w:rsidRPr="00FF6BD7">
        <w:rPr>
          <w:rFonts w:ascii="Times New Roman" w:hAnsi="Times New Roman" w:cs="Times New Roman"/>
          <w:lang w:val="en-US"/>
        </w:rPr>
        <w:t xml:space="preserve"> resmi PT. Kustodian Sentral Efek Indonesia (KSEI), menyatakan bahwa jumlah pelaku pasar modal telah naik</w:t>
      </w:r>
      <w:r w:rsidR="000C433A" w:rsidRPr="00FF6BD7">
        <w:rPr>
          <w:rFonts w:ascii="Times New Roman" w:hAnsi="Times New Roman" w:cs="Times New Roman"/>
          <w:lang w:val="en-US"/>
        </w:rPr>
        <w:t xml:space="preserve"> </w:t>
      </w:r>
      <w:r w:rsidRPr="00FF6BD7">
        <w:rPr>
          <w:rFonts w:ascii="Times New Roman" w:hAnsi="Times New Roman" w:cs="Times New Roman"/>
          <w:lang w:val="en-US"/>
        </w:rPr>
        <w:t xml:space="preserve">33,53% dari </w:t>
      </w:r>
      <w:r w:rsidR="004C0128" w:rsidRPr="00FF6BD7">
        <w:rPr>
          <w:rFonts w:ascii="Times New Roman" w:hAnsi="Times New Roman" w:cs="Times New Roman"/>
          <w:lang w:val="en-US"/>
        </w:rPr>
        <w:t xml:space="preserve">kurang lebih </w:t>
      </w:r>
      <w:r w:rsidRPr="00FF6BD7">
        <w:rPr>
          <w:rFonts w:ascii="Times New Roman" w:hAnsi="Times New Roman" w:cs="Times New Roman"/>
          <w:lang w:val="en-US"/>
        </w:rPr>
        <w:t xml:space="preserve">7.489.337 pada akhir tahun 2021 menjadi </w:t>
      </w:r>
      <w:r w:rsidR="004C0128" w:rsidRPr="00FF6BD7">
        <w:rPr>
          <w:rFonts w:ascii="Times New Roman" w:hAnsi="Times New Roman" w:cs="Times New Roman"/>
          <w:lang w:val="en-US"/>
        </w:rPr>
        <w:t xml:space="preserve">kurang lebih </w:t>
      </w:r>
      <w:r w:rsidRPr="00FF6BD7">
        <w:rPr>
          <w:rFonts w:ascii="Times New Roman" w:hAnsi="Times New Roman" w:cs="Times New Roman"/>
          <w:lang w:val="en-US"/>
        </w:rPr>
        <w:t xml:space="preserve">10.000.628 pada 3 November 2022. Kenaikan ini terus terlihat sejak tahun 2019 ketika jumlah pelaku pasar modal masih </w:t>
      </w:r>
      <w:r w:rsidR="004C0128" w:rsidRPr="00FF6BD7">
        <w:rPr>
          <w:rFonts w:ascii="Times New Roman" w:hAnsi="Times New Roman" w:cs="Times New Roman"/>
          <w:lang w:val="en-US"/>
        </w:rPr>
        <w:t xml:space="preserve">sekitar </w:t>
      </w:r>
      <w:r w:rsidRPr="00FF6BD7">
        <w:rPr>
          <w:rFonts w:ascii="Times New Roman" w:hAnsi="Times New Roman" w:cs="Times New Roman"/>
          <w:lang w:val="en-US"/>
        </w:rPr>
        <w:t>2.484.354. Pelaksanaan penyederhanaan pembukaan rekening efek sangat berpengaruh terhadap peningkatan jumlah pelaku pasar modal terutama pada masa pandemi COVID-19. Terbukti dengan kenaikan yang signifikan pada tahun 2022-2021, dengan pertumbuhan lebih dari 100%. Peningkatan jumlah pelaku pasar modal dari tahun 2019 hingga 2021 adalah peningkatan tertinggi sepanjang sejarah pasar modal Indonesia</w:t>
      </w:r>
      <w:r w:rsidR="00D74443" w:rsidRPr="00FF6BD7">
        <w:rPr>
          <w:rFonts w:ascii="Times New Roman" w:hAnsi="Times New Roman" w:cs="Times New Roman"/>
          <w:lang w:val="en-US"/>
        </w:rPr>
        <w:t xml:space="preserve">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{"citationItems":[{"id":"ITEM-1","itemData":{"URL":"https://www.ksei.co.id/publication/press-releases","accessed":{"date-parts":[["2023","6","17"]]},"author":[{"dropping-particle":"","family":"(KSEI)","given":"PT Kustodian Sentral Efek Indonesia","non-dropping-particle":"","parse-names":false,"suffix":""}],"container-title":"www.ksei.co.id","id":"ITEM-1","issued":{"date-parts":[["2022"]]},"title":"Berita Pers: Investor Pasar Modal Tembus 10 Juta","type":"webpage"},"uris":["http://www.mendeley.com/documents/?uuid=8d9a5c0b-b7eb-4e21-8994-bd908f712316"]}],"mendeley":{"formattedCitation":"((KSEI), 2022)","plainTextFormattedCitation":"((KSEI), 2022)","previouslyFormattedCitation":"((KSEI), 2022)"},"properties":{"noteIndex":0},"schema":"https://github.com/citation-style-language/schema/raw/master/csl-citation.json"}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((KSEI), 2022)</w:t>
      </w:r>
      <w:r w:rsidR="001B4C22" w:rsidRPr="00FF6BD7">
        <w:rPr>
          <w:rFonts w:ascii="Times New Roman" w:hAnsi="Times New Roman" w:cs="Times New Roman"/>
          <w:lang w:val="en-US"/>
        </w:rPr>
        <w:fldChar w:fldCharType="end"/>
      </w:r>
      <w:r w:rsidR="00F564CF" w:rsidRPr="00FF6BD7">
        <w:rPr>
          <w:rFonts w:ascii="Times New Roman" w:hAnsi="Times New Roman" w:cs="Times New Roman"/>
          <w:lang w:val="en-US"/>
        </w:rPr>
        <w:t xml:space="preserve">. Visualisasi pertumbuhan pelaku pasar modal dapat dilihat pada gambar </w:t>
      </w:r>
      <w:r w:rsidR="00FA4A29" w:rsidRPr="00FF6BD7">
        <w:rPr>
          <w:rFonts w:ascii="Times New Roman" w:hAnsi="Times New Roman" w:cs="Times New Roman"/>
          <w:lang w:val="en-US"/>
        </w:rPr>
        <w:t>1</w:t>
      </w:r>
      <w:r w:rsidR="00F564CF" w:rsidRPr="00FF6BD7">
        <w:rPr>
          <w:rFonts w:ascii="Times New Roman" w:hAnsi="Times New Roman" w:cs="Times New Roman"/>
          <w:lang w:val="en-US"/>
        </w:rPr>
        <w:t>.</w:t>
      </w:r>
    </w:p>
    <w:p w14:paraId="2FBB97B9" w14:textId="17E8E07B" w:rsidR="00FB0D57" w:rsidRPr="00FF6BD7" w:rsidRDefault="00FB76E4" w:rsidP="00FB0D57">
      <w:pPr>
        <w:spacing w:before="37" w:line="276" w:lineRule="auto"/>
        <w:ind w:right="34"/>
        <w:jc w:val="center"/>
      </w:pPr>
      <w:r w:rsidRPr="00FF6BD7">
        <w:rPr>
          <w:noProof/>
        </w:rPr>
        <w:drawing>
          <wp:inline distT="0" distB="0" distL="0" distR="0" wp14:anchorId="79786605" wp14:editId="6080878D">
            <wp:extent cx="2526665" cy="1520024"/>
            <wp:effectExtent l="0" t="0" r="6985" b="4445"/>
            <wp:docPr id="54259913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3538" t="17530" r="8010" b="2174"/>
                    <a:stretch/>
                  </pic:blipFill>
                  <pic:spPr bwMode="auto">
                    <a:xfrm>
                      <a:off x="0" y="0"/>
                      <a:ext cx="2558807" cy="1539360"/>
                    </a:xfrm>
                    <a:prstGeom prst="rect">
                      <a:avLst/>
                    </a:prstGeom>
                    <a:noFill/>
                    <a:ln>
                      <a:noFill/>
                    </a:ln>
                    <a:extLst>
                      <a:ext uri="{53640926-AAD7-44D8-BBD7-CCE9431645EC}">
                        <a14:shadowObscured xmlns:a14="http://schemas.microsoft.com/office/drawing/2010/main"/>
                      </a:ext>
                    </a:extLst>
                  </pic:spPr>
                </pic:pic>
              </a:graphicData>
            </a:graphic>
          </wp:inline>
        </w:drawing>
      </w:r>
    </w:p>
    <w:p w14:paraId="364A8F44" w14:textId="4C1D92DC" w:rsidR="00F564CF" w:rsidRPr="00FF6BD7" w:rsidRDefault="00FB0D57" w:rsidP="00F564CF">
      <w:pPr>
        <w:spacing w:before="37" w:line="276" w:lineRule="auto"/>
        <w:ind w:right="34"/>
        <w:jc w:val="center"/>
        <w:rPr>
          <w:sz w:val="22"/>
          <w:szCs w:val="22"/>
        </w:rPr>
      </w:pPr>
      <w:r w:rsidRPr="00FF6BD7">
        <w:rPr>
          <w:sz w:val="22"/>
          <w:szCs w:val="22"/>
        </w:rPr>
        <w:t>Gambar 1.</w:t>
      </w:r>
      <w:r w:rsidR="00F564CF" w:rsidRPr="00FF6BD7">
        <w:rPr>
          <w:sz w:val="22"/>
          <w:szCs w:val="22"/>
        </w:rPr>
        <w:t xml:space="preserve"> Grafik Pertumbuhan SID</w:t>
      </w:r>
      <w:r w:rsidR="00FA4A29" w:rsidRPr="00FF6BD7">
        <w:rPr>
          <w:sz w:val="22"/>
          <w:szCs w:val="22"/>
        </w:rPr>
        <w:t xml:space="preserve"> (2019-3 November 2022) </w:t>
      </w:r>
      <w:r w:rsidR="00F564CF" w:rsidRPr="00FF6BD7">
        <w:rPr>
          <w:sz w:val="22"/>
          <w:szCs w:val="22"/>
        </w:rPr>
        <w:t>(</w:t>
      </w:r>
      <w:proofErr w:type="gramStart"/>
      <w:r w:rsidR="00F564CF" w:rsidRPr="00FF6BD7">
        <w:rPr>
          <w:sz w:val="22"/>
          <w:szCs w:val="22"/>
        </w:rPr>
        <w:t>Sumber :</w:t>
      </w:r>
      <w:proofErr w:type="gramEnd"/>
      <w:r w:rsidR="00F564CF" w:rsidRPr="00FF6BD7">
        <w:rPr>
          <w:sz w:val="22"/>
          <w:szCs w:val="22"/>
        </w:rPr>
        <w:t xml:space="preserve"> </w:t>
      </w:r>
      <w:r w:rsidR="00FA4A29" w:rsidRPr="00FF6BD7">
        <w:rPr>
          <w:sz w:val="22"/>
          <w:szCs w:val="22"/>
        </w:rPr>
        <w:t xml:space="preserve">Berita Pers </w:t>
      </w:r>
      <w:r w:rsidR="00F564CF" w:rsidRPr="00FF6BD7">
        <w:rPr>
          <w:sz w:val="22"/>
          <w:szCs w:val="22"/>
        </w:rPr>
        <w:t>KSEI)</w:t>
      </w:r>
    </w:p>
    <w:p w14:paraId="17C1344F" w14:textId="3D528DD8" w:rsidR="00FB76E4" w:rsidRPr="00FF6BD7" w:rsidRDefault="00FB76E4"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Sektor keuangan merupakan salah satu sektor</w:t>
      </w:r>
      <w:r w:rsidR="00BA1670" w:rsidRPr="00FF6BD7">
        <w:rPr>
          <w:rFonts w:ascii="Times New Roman" w:hAnsi="Times New Roman" w:cs="Times New Roman"/>
          <w:lang w:val="en-US"/>
        </w:rPr>
        <w:t xml:space="preserve"> yang ada pada pasar modal. Diantara banyaknya kegiatan pasar modal pada sektor keuangan, instrumen yang paling diminati adalah saham.</w:t>
      </w:r>
      <w:r w:rsidR="00723BBD" w:rsidRPr="00FF6BD7">
        <w:rPr>
          <w:rFonts w:ascii="Times New Roman" w:hAnsi="Times New Roman" w:cs="Times New Roman"/>
          <w:lang w:val="en-US"/>
        </w:rPr>
        <w:t xml:space="preserve"> Ketika perusahaan memutuskan </w:t>
      </w:r>
      <w:r w:rsidR="00723BBD" w:rsidRPr="00FF6BD7">
        <w:rPr>
          <w:rFonts w:ascii="Times New Roman" w:hAnsi="Times New Roman" w:cs="Times New Roman"/>
          <w:lang w:val="en-US"/>
        </w:rPr>
        <w:lastRenderedPageBreak/>
        <w:t xml:space="preserve">untuk mendanai dirinya, menerbitkan saham adalah salah satu pilihan yang banyak digunakan oleh perusahaan. Di sisi lain, banyak investor memilih untuk berinvestasi dalam saham karena saham sendiri dapat memberikan tingkat keuntungan yang menarik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{"citationItems":[{"id":"ITEM-1","itemData":{"URL":"https://www.idx.co.id/id/produk/saham/","accessed":{"date-parts":[["2023","6","20"]]},"author":[{"dropping-particle":"","family":"Bursa Efek Indonesia","given":"","non-dropping-particle":"","parse-names":false,"suffix":""}],"container-title":"www.idx.co.id","id":"ITEM-1","issued":{"date-parts":[["2022"]]},"title":"Saham","type":"webpage"},"uris":["http://www.mendeley.com/documents/?uuid=59901e7b-0430-4275-b7cc-b93b44868342"]}],"mendeley":{"formattedCitation":"(Bursa Efek Indonesia, 2022)","plainTextFormattedCitation":"(Bursa Efek Indonesia, 2022)","previouslyFormattedCitation":"(Bursa Efek Indonesia, 2022)"},"properties":{"noteIndex":0},"schema":"https://github.com/citation-style-language/schema/raw/master/csl-citation.json"}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(Bursa Efek Indonesia, 2022)</w:t>
      </w:r>
      <w:r w:rsidR="001B4C22" w:rsidRPr="00FF6BD7">
        <w:rPr>
          <w:rFonts w:ascii="Times New Roman" w:hAnsi="Times New Roman" w:cs="Times New Roman"/>
          <w:lang w:val="en-US"/>
        </w:rPr>
        <w:fldChar w:fldCharType="end"/>
      </w:r>
      <w:r w:rsidR="001B4C22" w:rsidRPr="00FF6BD7">
        <w:rPr>
          <w:rFonts w:ascii="Times New Roman" w:hAnsi="Times New Roman" w:cs="Times New Roman"/>
          <w:lang w:val="en-US"/>
        </w:rPr>
        <w:t>.</w:t>
      </w:r>
    </w:p>
    <w:p w14:paraId="0C659D17" w14:textId="5B3BA10E" w:rsidR="00723BBD" w:rsidRPr="00FF6BD7" w:rsidRDefault="00723BBD" w:rsidP="001B4C22">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 xml:space="preserve">Investasi saham merupakan salah satu instrumen investasi yang memiliki tingkat risiko dan keuntungan yang tinggi. Hal tersebut dapat memberikan keuntungan maupun risiko bagi para investor. Keuntungan yang dapat diperoleh dari investasi saham adalah </w:t>
      </w:r>
      <w:r w:rsidRPr="00FF6BD7">
        <w:rPr>
          <w:rFonts w:ascii="Times New Roman" w:hAnsi="Times New Roman" w:cs="Times New Roman"/>
          <w:i/>
          <w:iCs/>
          <w:lang w:val="en-US"/>
        </w:rPr>
        <w:t>capital gain</w:t>
      </w:r>
      <w:r w:rsidRPr="00FF6BD7">
        <w:rPr>
          <w:rFonts w:ascii="Times New Roman" w:hAnsi="Times New Roman" w:cs="Times New Roman"/>
          <w:lang w:val="en-US"/>
        </w:rPr>
        <w:t xml:space="preserve"> dan dividen </w:t>
      </w:r>
      <w:r w:rsidR="00625DE1" w:rsidRPr="00FF6BD7">
        <w:rPr>
          <w:rFonts w:ascii="Times New Roman" w:hAnsi="Times New Roman" w:cs="Times New Roman"/>
          <w:lang w:val="en-US"/>
        </w:rPr>
        <w:fldChar w:fldCharType="begin" w:fldLock="1"/>
      </w:r>
      <w:r w:rsidR="008922E5" w:rsidRPr="00FF6BD7">
        <w:rPr>
          <w:rFonts w:ascii="Times New Roman" w:hAnsi="Times New Roman" w:cs="Times New Roman"/>
          <w:lang w:val="en-US"/>
        </w:rPr>
        <w:instrText>ADDIN CSL_CITATION {"citationItems":[{"id":"ITEM-1","itemData":{"DOI":"10.31092/jpi.v6i2.1854","abstract":"Pandemi Covid-19 memiliki efek domino pada perekonomian dan pasar saham Indonesia. Namun, di tengah lesunya perekonomian, terjadi peningkatan signifikan jumlah investor ritel saham di Bursa Efek Indonesia. Penelitian ini bertujuan untuk menganalisis karakteristik dan tingkat kepatuhan pajak investor ritel yang memutuskan berinvestasi saham pada masa pandemi, serta mengetahui dampak penerimaan pajak penghasilan final atas penjualan saham pada masa pandemi. Metode penelitian yang digunakan adalah metode kualitatif. Penelitian dilakukan menggunakan data primer dan data sekunder. Data primer yang digunakan berupa data kuesioner terbuka terhadap 120 investor ritel. Adapun data sekunder yang digunakan adalah data penerimaan pajak penghasilan final atas penjualan saham dari DJP, data volume dan nilai transaksi perdagangan saham dari BEI, dan data demografi investor dari KSEI. Hasil penelitian menunjukkan bahwa mayoritas investor ritel yang memutuskan berinvestasi saham pada masa pandemi adalah berusia di bawah 30 tahun, memiliki penghasilan bulanan kurang dari Rp 4,8 juta, dan memiliki tipe investasi jangka pendek (trading). Adapun tingkat kepatuhan pajak investor ritel yang memutuskan berinvestasi saham pada masa pandemi sudah baik secara formal namun masih rendah secara material. Masa pandemi Covid-19 berdampak positif pada peningkatan penerimaan pajak penghasilan final atas penjualan saham di bursa. Hal ini disebabkan adanya lonjakan volume dan nilai transaksi perdagangan saham secara signifikan pada akhir tahun 2020 hingga awal 2021 yang menunjukkan rasa optimisme investor serta diimbangi peningkatan jumlah investor ritel.\r Pandemi Covid-19 memiliki efek domino pada perekonomian dan pasar saham Indonesia. Namun, di tengah lesunya perekonomian, terjadi peningkatan signifikan jumlah investor ritel saham di Bursa Efek Indonesia. Penelitian ini bertujuan untuk menganalisis karakteristik dan tingkat kepatuhan pajak investor ritel yang memutuskan berinvestasi saham pada masa pandemi, serta mengetahui dampak penerimaan pajak penghasilan final atas penjualan saham pada masa pandemi. Metode penelitian yang digunakan adalah metode kualitatif. Penelitian dilakukan menggunakan data primer dan data sekunder. Data primer yang digunakan berupa data kuesioner terbuka terhadap 120 investor ritel. Adapun data sekunder yang digunakan adalah data penerimaan pajak penghasilan final atas penjualan saham dari DJP, data volume dan nilai transaksi perdagangan saham dari BEI, dan d…","author":[{"dropping-particle":"","family":"Lubis","given":"Muhammad Hammam Rafati","non-dropping-particle":"","parse-names":false,"suffix":""},{"dropping-particle":"","family":"Kusuma","given":"I Gede Komang Chahya Bayu Anta","non-dropping-particle":"","parse-names":false,"suffix":""}],"container-title":"JURNAL PAJAK INDONESIA (Indonesian Tax Review)","id":"ITEM-1","issue":"2","issued":{"date-parts":[["2022"]]},"page":"245-264","title":"Analisis Pertumbuhan Investor Ritel Pada Masa Pandemi Dan Implikasi Pajak Penghasilan Final Atas Penjualan Saham Di Bursa","type":"article-journal","volume":"6"},"uris":["http://www.mendeley.com/documents/?uuid=3975d203-0a60-4e48-a5cf-31b753dbf1f1"]}],"mendeley":{"formattedCitation":"(Lubis &amp; Kusuma, 2022)","plainTextFormattedCitation":"(Lubis &amp; Kusuma, 2022)","previouslyFormattedCitation":"(Lubis &amp; Kusuma, 2022)"},"properties":{"noteIndex":0},"schema":"https://github.com/citation-style-language/schema/raw/master/csl-citation.json"}</w:instrText>
      </w:r>
      <w:r w:rsidR="00625DE1" w:rsidRPr="00FF6BD7">
        <w:rPr>
          <w:rFonts w:ascii="Times New Roman" w:hAnsi="Times New Roman" w:cs="Times New Roman"/>
          <w:lang w:val="en-US"/>
        </w:rPr>
        <w:fldChar w:fldCharType="separate"/>
      </w:r>
      <w:r w:rsidR="00625DE1" w:rsidRPr="00FF6BD7">
        <w:rPr>
          <w:rFonts w:ascii="Times New Roman" w:hAnsi="Times New Roman" w:cs="Times New Roman"/>
          <w:noProof/>
          <w:lang w:val="en-US"/>
        </w:rPr>
        <w:t>(Lubis &amp; Kusuma, 2022)</w:t>
      </w:r>
      <w:r w:rsidR="00625DE1" w:rsidRPr="00FF6BD7">
        <w:rPr>
          <w:rFonts w:ascii="Times New Roman" w:hAnsi="Times New Roman" w:cs="Times New Roman"/>
          <w:lang w:val="en-US"/>
        </w:rPr>
        <w:fldChar w:fldCharType="end"/>
      </w:r>
      <w:r w:rsidRPr="00FF6BD7">
        <w:rPr>
          <w:rFonts w:ascii="Times New Roman" w:hAnsi="Times New Roman" w:cs="Times New Roman"/>
          <w:lang w:val="en-US"/>
        </w:rPr>
        <w:t>. Adanya tingkat risiko dan keuntungan yang tinggi mengharuskan calon investor untuk dapat memilih perusahaan yang tepat sebagai tempat untuk menanamkan sahamnya.</w:t>
      </w:r>
    </w:p>
    <w:p w14:paraId="7064902B" w14:textId="162E468A" w:rsidR="00723BBD" w:rsidRPr="00FF6BD7" w:rsidRDefault="00723BBD"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Peran sektor keuangan</w:t>
      </w:r>
      <w:r w:rsidR="0072080E" w:rsidRPr="00FF6BD7">
        <w:rPr>
          <w:rFonts w:ascii="Times New Roman" w:hAnsi="Times New Roman" w:cs="Times New Roman"/>
          <w:lang w:val="en-US"/>
        </w:rPr>
        <w:t xml:space="preserve"> dapat dimengerti melalui industri perbankan yang memiliki peran kruisal dalam perekonomian sebagai institusi perantara yang mengalirkan dana dari masyarakat ke dalam investasi aset produktif yang akan memajukan produktivitas sektor riil, pengumpulan modal, dan pertumbuhan hasil gabungan</w:t>
      </w:r>
      <w:r w:rsidR="001B4C22" w:rsidRPr="00FF6BD7">
        <w:rPr>
          <w:rFonts w:ascii="Times New Roman" w:hAnsi="Times New Roman" w:cs="Times New Roman"/>
          <w:lang w:val="en-US"/>
        </w:rPr>
        <w:t xml:space="preserve">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{"citationItems":[{"id":"ITEM-1","itemData":{"DOI":"10.31685/kek.v2i1.207","ISSN":"1410-3249","abstract":"Sektor keuangan merupakan salah satu sektor yang dapat mempengaruhi pertumbuhan ekonomi regional dan memegang peranan penting dalam memicu pertumbuhan ekonomi suatu daerah. Penelitian ini bertujuan melihat pengaruh sektor keuangan dari Badan Perkreditan Rakyat terhadap Perekonomian Regional di wilayah Sulawesi. Metode analisis yang digunakan ialah Analisis Regresi Komponen Utama. Diperoleh hasil bahwa perkembangan sektor keuangan dari Bank Perkreditan Rakyat terhadap perekonomian regional di wilayah Sulawesi yang terdiri dari variabel sektor keuangan yaitu aset BPR, jumlah kredit yang disalurkan oleh BPR, Dana Pihak Ketiga BPR dan jumlah BPR berbadan hukum masing-masing mempengaruhi peningkatan pertumbuhan ekonomi regional di wilayah Sulawesi secara positif dan signifikan. Jumlah BPR berbadan hukum memiliki pengaruh yang paling signifikan terhadap peningkatan perekonomian regional di wilayah Sulawesi. Oleh karenanya sebagai masukan saran atau rekomendasi maka Pemerintah daerah, otoritas moneter dan OJK dalam pelaksanaannya perlu bersinergi dengan kementerian, perbankan, lembaga domestik guna meningkatkan peran sektor keuangan dari BPR diantaranya berkaitan dengan pembentukan akumulasi modal fisik dan pemeratan persebaran kredit BPR yang berdampak terhadap pembangunan kewilayahan di wilayah Sulawesi.","author":[{"dropping-particle":"","family":"Supartoyo","given":"Yesi Hendriani","non-dropping-particle":"","parse-names":false,"suffix":""},{"dropping-particle":"","family":"Juanda","given":"Bambang","non-dropping-particle":"","parse-names":false,"suffix":""},{"dropping-particle":"","family":"Firdaus","given":"Muhammad","non-dropping-particle":"","parse-names":false,"suffix":""},{"dropping-particle":"","family":"Effendi","given":"Jaenal","non-dropping-particle":"","parse-names":false,"suffix":""}],"container-title":"Kajian Ekonomi dan Keuangan","id":"ITEM-1","issue":"1","issued":{"date-parts":[["2018"]]},"page":"15-38","title":"Pengaruh Sektor Keuangan Bank Perkreditan Rakyat terhadap Perekonomian Regional Wilayah Sulawesi","type":"article-journal","volume":"2"},"uris":["http://www.mendeley.com/documents/?uuid=514993d6-ada3-42ae-bc81-edcf624fc0c7"]}],"mendeley":{"formattedCitation":"(Supartoyo et al., 2018)","plainTextFormattedCitation":"(Supartoyo et al., 2018)","previouslyFormattedCitation":"(Supartoyo et al., 2018)"},"properties":{"noteIndex":0},"schema":"https://github.com/citation-style-language/schema/raw/master/csl-citation.json"}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(Supartoyo et al., 2018)</w:t>
      </w:r>
      <w:r w:rsidR="001B4C22" w:rsidRPr="00FF6BD7">
        <w:rPr>
          <w:rFonts w:ascii="Times New Roman" w:hAnsi="Times New Roman" w:cs="Times New Roman"/>
          <w:lang w:val="en-US"/>
        </w:rPr>
        <w:fldChar w:fldCharType="end"/>
      </w:r>
      <w:r w:rsidR="001B4C22" w:rsidRPr="00FF6BD7">
        <w:rPr>
          <w:rFonts w:ascii="Times New Roman" w:hAnsi="Times New Roman" w:cs="Times New Roman"/>
          <w:lang w:val="en-US"/>
        </w:rPr>
        <w:t>.</w:t>
      </w:r>
    </w:p>
    <w:p w14:paraId="1453B770" w14:textId="6FC43DE8" w:rsidR="0072080E" w:rsidRPr="00FF6BD7" w:rsidRDefault="0072080E"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Penelitian yang dilakukan oleh</w:t>
      </w:r>
      <w:r w:rsidR="001B4C22" w:rsidRPr="00FF6BD7">
        <w:rPr>
          <w:rFonts w:ascii="Times New Roman" w:hAnsi="Times New Roman" w:cs="Times New Roman"/>
          <w:lang w:val="en-US"/>
        </w:rPr>
        <w:t xml:space="preserve">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{"citationItems":[{"id":"ITEM-1","itemData":{"DOI":"10.37531/sejaman.v5i1.1542","abstract":"Investasi merupakan salah satu pilihan masyarakat untuk memperoleh keuntungan dana pada masa sekarang ini. Salah satu bentuk investasi yang sedang diminati adalah investasi saham. Investor saham pastinya akan memilih perusahaan yang dapat memberikan pengembalian yang tinggi. Perusahaan dengan kinerja yang baik akan lebih dipercaya oleh para investor. Perusahaan perbankan sendiri dapat dinilai kinerjanya melalui tingkat kesehatan bank. Para investor mempercayai bahwa perbankan dengan performa yang baik merupakan pertanda bahwa tingkat pengembalian yang diterima juga akan lebih tinggi. Tujuan dari penelitian ini adalah untuk menganalisis dampak signifikansi dari tingkat kesehatan bank terhadap tingkat pengembalian saham perusahaan perbankan yang terdaftar di Bursa Efek Indonesia pada tahun 2015-2020. Tingkat kesehatan bank dalam studi ini mencakup Return on Asset, Capital Adequacy Ratio, Operating Expense to Operating Income, Loan to Deposit Ratio, dan Net Interest Margin. Sebanyak 243 data sebagai sampel penelitian yang diperoleh melalui metode purposive sampling. Data yang telah terkumpul selanjutnya diolah menggunakan software Eviews 10. Hasil penelitian menunjukkan bahwa adanya pengaruh signifikan positif antara Return on Asset dan Capital Adequacy Ratio terhadap tingkat pengembalian saham perbankan, sedangkan variabel lainnya yakni Expense to Operating Income, Loan to Deposit Ratio, dan Net Interest Margin tidak memberikan pengaruh signifikan terhadap tingkat pengembalian saham perbankan.","author":[{"dropping-particle":"","family":"Verina","given":"V","non-dropping-particle":"","parse-names":false,"suffix":""},{"dropping-particle":"","family":"Cuandra","given":"F","non-dropping-particle":"","parse-names":false,"suffix":""}],"container-title":"SEIKO: Journal of Management \\&amp; …","id":"ITEM-1","issue":"1","issued":{"date-parts":[["2022"]]},"page":"188-197","title":"Analisis Tingkat Kesehatan dan Tingkat Pengembalian Saham Perbankan","type":"article-journal","volume":"5"},"uris":["http://www.mendeley.com/documents/?uuid=3734aa7b-85cf-4f0e-9ba0-8d99e0395628"]}],"mendeley":{"formattedCitation":"(Verina &amp; Cuandra, 2022)","plainTextFormattedCitation":"(Verina &amp; Cuandra, 2022)","previouslyFormattedCitation":"(Verina &amp; Cuandra, 2022)"},"properties":{"noteIndex":0},"schema":"https://github.com/citation-style-language/schema/raw/master/csl-citation.json"}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(Verina &amp; Cuandra, 2022)</w:t>
      </w:r>
      <w:r w:rsidR="001B4C22" w:rsidRPr="00FF6BD7">
        <w:rPr>
          <w:rFonts w:ascii="Times New Roman" w:hAnsi="Times New Roman" w:cs="Times New Roman"/>
          <w:lang w:val="en-US"/>
        </w:rPr>
        <w:fldChar w:fldCharType="end"/>
      </w:r>
      <w:r w:rsidR="001B4C22" w:rsidRPr="00FF6BD7">
        <w:rPr>
          <w:rFonts w:ascii="Times New Roman" w:hAnsi="Times New Roman" w:cs="Times New Roman"/>
          <w:lang w:val="en-US"/>
        </w:rPr>
        <w:t xml:space="preserve"> </w:t>
      </w:r>
      <w:r w:rsidRPr="00FF6BD7">
        <w:rPr>
          <w:rFonts w:ascii="Times New Roman" w:hAnsi="Times New Roman" w:cs="Times New Roman"/>
          <w:lang w:val="en-US"/>
        </w:rPr>
        <w:t>menjelaskan bahwa sektor perbankan dapat dijadikan sebagai pilihan terbaik untuk melakukan investasi saham, baik investasi jangka panjang maupun investasi jangka pendek. Investor saham di sektor perbankan dapat membedakan perusahaan-perusahaan bank berdasarkan kesehatan keuangannya dengan menekankan pada profitabilitas dan kekuatan neraca. Faktor-faktor seperti modal yang cukup</w:t>
      </w:r>
      <w:r w:rsidR="00272A21" w:rsidRPr="00FF6BD7">
        <w:rPr>
          <w:rFonts w:ascii="Times New Roman" w:hAnsi="Times New Roman" w:cs="Times New Roman"/>
          <w:lang w:val="en-US"/>
        </w:rPr>
        <w:t xml:space="preserve">, pendanaan yang stabil, dan </w:t>
      </w:r>
      <w:r w:rsidR="00674A43" w:rsidRPr="00FF6BD7">
        <w:rPr>
          <w:rFonts w:ascii="Times New Roman" w:hAnsi="Times New Roman" w:cs="Times New Roman"/>
          <w:lang w:val="en-US"/>
        </w:rPr>
        <w:t>peringkat</w:t>
      </w:r>
      <w:r w:rsidR="00272A21" w:rsidRPr="00FF6BD7">
        <w:rPr>
          <w:rFonts w:ascii="Times New Roman" w:hAnsi="Times New Roman" w:cs="Times New Roman"/>
          <w:lang w:val="en-US"/>
        </w:rPr>
        <w:t xml:space="preserve"> kredit yang baik menjadi indikator yang sangat relevan dalam mengevaluasi kinerja saham bank.</w:t>
      </w:r>
    </w:p>
    <w:p w14:paraId="7FB0D428" w14:textId="5D683F68" w:rsidR="00272A21" w:rsidRPr="00FF6BD7" w:rsidRDefault="00272A21"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Selanjutnya penelitian oleh</w:t>
      </w:r>
      <w:r w:rsidR="001B4C22" w:rsidRPr="00FF6BD7">
        <w:rPr>
          <w:rFonts w:ascii="Times New Roman" w:hAnsi="Times New Roman" w:cs="Times New Roman"/>
          <w:lang w:val="en-US"/>
        </w:rPr>
        <w:t xml:space="preserve">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Kata","author":[{"dropping-particle":"","family":"Utami","given":"Vera Widya","non-dropping-particle":"","parse-names":false,"suffix":""},{"dropping-particle":"","family":"Kartika","given":"Rayna","non-dropping-particle":"","parse-names":false,"suffix":""}],"container-title":"Jurnal Sains Sosio Humaniora","id":"ITEM-1","issued":{"date-parts":[["2020"]]},"page":"1-23","title":"Investasi Saham pada Sektor Perbankan adalah Pilihan yang Tepat Bagi Investor di Pasar Modal","type":"article-journal","volume":"4"},"uris":["http://www.mendeley.com/documents/?uuid=e280495c-c7bc-4c7c-8192-d5a035aeaa0c"]}],"mendeley":{"formattedCitation":"(Utami &amp; Kartika, 2020)","plainTextFormattedCitation":"(Utami &amp; Kartika, 2020)","previouslyFormattedCitation":"(Utami &amp; Kartika, 2020)"},"properties":{"noteIndex":0},"schema":"https://github.com/citation-style-language/schema/raw/master/csl-citation.json"}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(Utami &amp; Kartika, 2020)</w:t>
      </w:r>
      <w:r w:rsidR="001B4C22" w:rsidRPr="00FF6BD7">
        <w:rPr>
          <w:rFonts w:ascii="Times New Roman" w:hAnsi="Times New Roman" w:cs="Times New Roman"/>
          <w:lang w:val="en-US"/>
        </w:rPr>
        <w:fldChar w:fldCharType="end"/>
      </w:r>
      <w:r w:rsidR="001B4C22" w:rsidRPr="00FF6BD7">
        <w:rPr>
          <w:rFonts w:ascii="Times New Roman" w:hAnsi="Times New Roman" w:cs="Times New Roman"/>
          <w:lang w:val="en-US"/>
        </w:rPr>
        <w:t xml:space="preserve"> </w:t>
      </w:r>
      <w:r w:rsidRPr="00FF6BD7">
        <w:rPr>
          <w:rFonts w:ascii="Times New Roman" w:hAnsi="Times New Roman" w:cs="Times New Roman"/>
          <w:lang w:val="en-US"/>
        </w:rPr>
        <w:t xml:space="preserve">menyimpulkan secara keseluruhan bahwa sektor perbankan mengalami peningkatan bertahap yang signifikan, baik dalam hal likuiditas maupun aspek fundamental. Hal ini menandakan bahwa setiap tahunnya, industri ini mampu </w:t>
      </w:r>
      <w:r w:rsidRPr="00FF6BD7">
        <w:rPr>
          <w:rFonts w:ascii="Times New Roman" w:hAnsi="Times New Roman" w:cs="Times New Roman"/>
          <w:lang w:val="en-US"/>
        </w:rPr>
        <w:lastRenderedPageBreak/>
        <w:t>meningkatkan kinerjanya secara berkelanjutan dalam jangka panjang.</w:t>
      </w:r>
    </w:p>
    <w:p w14:paraId="0DD2F2E2" w14:textId="30DA6D1F" w:rsidR="00401544" w:rsidRPr="00FF6BD7" w:rsidRDefault="00401544"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Para investor membutuhkan data yang tepat dalam melakukan investasi yang akan dipakai sebagai acuan untuk memilih saham-saham perusahaan yang menguntungkan. Data yang tersedia dapat dijadikan sebagai bahan analisis saham secara fundamental maupun teknikal. Data fundamental didapat dari situasi internal perusahaan, sedangkan data teknikal didapat dari faktor eksternal seperti kondisi ekonomi, politik, keuangan, dan lain sebagainya. Data yang umumnya digunakan untuk memperoleh informasi mengenai kondisi internal perusahaan adalah laporan keuangan dan informasi deviden. Laporan keuangan sebagai sumber data dalam analisis fundamental harus dapat menggambarkan posisi keuangan perusahaan pada waktu tertentu serta hasil operasi pada waktu tertentu secara akurat. Hal ini diharapkan dapat memenuhi kebutuhan para calon investor untuk mendukung proses pengambilan keputusan investasi di pasar modal</w:t>
      </w:r>
      <w:r w:rsidR="001B4C22" w:rsidRPr="00FF6BD7">
        <w:rPr>
          <w:rFonts w:ascii="Times New Roman" w:hAnsi="Times New Roman" w:cs="Times New Roman"/>
          <w:lang w:val="en-US"/>
        </w:rPr>
        <w:t xml:space="preserve"> </w:t>
      </w:r>
      <w:r w:rsidR="001B4C22" w:rsidRPr="00FF6BD7">
        <w:rPr>
          <w:rFonts w:ascii="Times New Roman" w:hAnsi="Times New Roman" w:cs="Times New Roman"/>
          <w:lang w:val="en-US"/>
        </w:rPr>
        <w:fldChar w:fldCharType="begin" w:fldLock="1"/>
      </w:r>
      <w:r w:rsidR="001B4C22" w:rsidRPr="00FF6BD7">
        <w:rPr>
          <w:rFonts w:ascii="Times New Roman" w:hAnsi="Times New Roman" w:cs="Times New Roman"/>
          <w:lang w:val="en-US"/>
        </w:rPr>
        <w:instrText>ADDIN CSL_CITATION {"citationItems":[{"id":"ITEM-1","itemData":{"DOI":"10.31943/investasi.v5i1.16","ISSN":"2442-4331","abstract":"Penelitian ini bertujuan untuk mengetahui pengaruh kebijakan deviden dan capital gain terhadap harga saham. Penelitian ini menggunakan data sekunder. Jumlah sample dalam penelitian ini ada 15 perusahaan LQ45 yang menerbitkan saham dan membagikan deviden ataupun capital gain berturut-turut pada tahun 2014-2015. Variabel independen yang digunakan dalam penelitian ini adalah Capital gain dan Kebijakan Deviden, sedangkan variable dependen yang digunakan dalam penelitian ini adalah harga saham. Pengujian hipotesis ini menggunakan uji regresi linear data panel dan diolah dengan menggunakan software eviews. Hasil penelitian ini menunjukan bahwa variable kebijakan deviden tidak berpengaruh secara signifikan terhadap harga saham dan variable capital gain berpengaruh secara signifikan terhadap harga saham pada perusahaan LQ45 tahun 2014-2015.\r This study aims to determine the effect of dividend policy and capital gain on stock prices. This study uses secondary data. The number of samples in this study were 15 LQ45 companies that issued shares and distributed dividends or capital gains in a row in 2014-2015. The independent variable used in this study is Capital gain and Dividend Policy, while the dependent variable used in this study is the stock price. Testing this hypothesis uses a linear data panel regression test and processed using software eviews. The results of this study indicate that the dividend policy variable does not significantly influence stock prices and variable capital gains significantly influence stock prices in LQ45 companies in 2014-2015","author":[{"dropping-particle":"","family":"Lisa Kustina","given":"","non-dropping-particle":"","parse-names":false,"suffix":""},{"dropping-particle":"","family":"Otika Safitri","given":"","non-dropping-particle":"","parse-names":false,"suffix":""},{"dropping-particle":"","family":"Samsul Anwar","given":"","non-dropping-particle":"","parse-names":false,"suffix":""}],"container-title":"Jurnal Investasi","id":"ITEM-1","issue":"1","issued":{"date-parts":[["2019"]]},"page":"24-37","title":"Kebijakan Deviden Dan Capital Gain: Pengaruhnya Terhadap Harga Saham","type":"article-journal","volume":"5"},"uris":["http://www.mendeley.com/documents/?uuid=b59ecfb8-d425-4eb9-a13c-0cc37b538ec3"]}],"mendeley":{"formattedCitation":"(Lisa Kustina et al., 2019)","plainTextFormattedCitation":"(Lisa Kustina et al., 2019)","previouslyFormattedCitation":"(Lisa Kustina et al., 2019)"},"properties":{"noteIndex":0},"schema":"https://github.com/citation-style-language/schema/raw/master/csl-citation.json"}</w:instrText>
      </w:r>
      <w:r w:rsidR="001B4C22" w:rsidRPr="00FF6BD7">
        <w:rPr>
          <w:rFonts w:ascii="Times New Roman" w:hAnsi="Times New Roman" w:cs="Times New Roman"/>
          <w:lang w:val="en-US"/>
        </w:rPr>
        <w:fldChar w:fldCharType="separate"/>
      </w:r>
      <w:r w:rsidR="001B4C22" w:rsidRPr="00FF6BD7">
        <w:rPr>
          <w:rFonts w:ascii="Times New Roman" w:hAnsi="Times New Roman" w:cs="Times New Roman"/>
          <w:noProof/>
          <w:lang w:val="en-US"/>
        </w:rPr>
        <w:t>(Lisa Kustina et al., 2019)</w:t>
      </w:r>
      <w:r w:rsidR="001B4C22" w:rsidRPr="00FF6BD7">
        <w:rPr>
          <w:rFonts w:ascii="Times New Roman" w:hAnsi="Times New Roman" w:cs="Times New Roman"/>
          <w:lang w:val="en-US"/>
        </w:rPr>
        <w:fldChar w:fldCharType="end"/>
      </w:r>
      <w:r w:rsidR="001B4C22" w:rsidRPr="00FF6BD7">
        <w:rPr>
          <w:rFonts w:ascii="Times New Roman" w:hAnsi="Times New Roman" w:cs="Times New Roman"/>
          <w:lang w:val="en-US"/>
        </w:rPr>
        <w:t>.</w:t>
      </w:r>
    </w:p>
    <w:p w14:paraId="55223747" w14:textId="7A202B82" w:rsidR="00E674CF" w:rsidRPr="00FF6BD7" w:rsidRDefault="00E674CF"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 xml:space="preserve">Sebelum mengalokasikan dana mereka, investor </w:t>
      </w:r>
      <w:r w:rsidR="00EB3999" w:rsidRPr="00FF6BD7">
        <w:rPr>
          <w:rFonts w:ascii="Times New Roman" w:hAnsi="Times New Roman" w:cs="Times New Roman"/>
          <w:lang w:val="en-US"/>
        </w:rPr>
        <w:t xml:space="preserve">harus </w:t>
      </w:r>
      <w:r w:rsidRPr="00FF6BD7">
        <w:rPr>
          <w:rFonts w:ascii="Times New Roman" w:hAnsi="Times New Roman" w:cs="Times New Roman"/>
          <w:lang w:val="en-US"/>
        </w:rPr>
        <w:t xml:space="preserve">melakukan analisis terhadap kemampuan perusahaan untuk menghasilkan keuntungan. </w:t>
      </w:r>
      <w:proofErr w:type="gramStart"/>
      <w:r w:rsidR="00EB3999" w:rsidRPr="00FF6BD7">
        <w:rPr>
          <w:rFonts w:ascii="Times New Roman" w:hAnsi="Times New Roman" w:cs="Times New Roman"/>
          <w:lang w:val="en-US"/>
        </w:rPr>
        <w:t xml:space="preserve">Investor </w:t>
      </w:r>
      <w:r w:rsidRPr="00FF6BD7">
        <w:rPr>
          <w:rFonts w:ascii="Times New Roman" w:hAnsi="Times New Roman" w:cs="Times New Roman"/>
          <w:lang w:val="en-US"/>
        </w:rPr>
        <w:t xml:space="preserve"> tertarik</w:t>
      </w:r>
      <w:proofErr w:type="gramEnd"/>
      <w:r w:rsidRPr="00FF6BD7">
        <w:rPr>
          <w:rFonts w:ascii="Times New Roman" w:hAnsi="Times New Roman" w:cs="Times New Roman"/>
          <w:lang w:val="en-US"/>
        </w:rPr>
        <w:t xml:space="preserve"> pada informasi yang terkait dengan kondisi keuangan yang berdampak pada kemampuan perusahaan untuk membayar divide</w:t>
      </w:r>
      <w:r w:rsidR="00EB3999" w:rsidRPr="00FF6BD7">
        <w:rPr>
          <w:rFonts w:ascii="Times New Roman" w:hAnsi="Times New Roman" w:cs="Times New Roman"/>
          <w:lang w:val="en-US"/>
        </w:rPr>
        <w:t>n</w:t>
      </w:r>
      <w:r w:rsidRPr="00FF6BD7">
        <w:rPr>
          <w:rFonts w:ascii="Times New Roman" w:hAnsi="Times New Roman" w:cs="Times New Roman"/>
          <w:lang w:val="en-US"/>
        </w:rPr>
        <w:t>. Oleh karena itu, investor hanya akan menginvestasikan dana mereka kepada perusahaan yang memiliki reputasi yang baik. Perusahaan yang memiliki reputasi yang baik adalah perusahaan yang mampu memberikan dividen secara konsisten kepada pemegang saham. Semakin meningkatnya keuntungan yang diterima perusahaan maka semakin tinggi pula dividen yang dibayarkan perusahaan kepada pemegang saham</w:t>
      </w:r>
      <w:r w:rsidR="00EB3999" w:rsidRPr="00FF6BD7">
        <w:rPr>
          <w:rFonts w:ascii="Times New Roman" w:hAnsi="Times New Roman" w:cs="Times New Roman"/>
          <w:lang w:val="en-US"/>
        </w:rPr>
        <w:t xml:space="preserve"> </w:t>
      </w:r>
      <w:r w:rsidR="00EB3999" w:rsidRPr="00FF6BD7">
        <w:rPr>
          <w:rFonts w:ascii="Times New Roman" w:hAnsi="Times New Roman" w:cs="Times New Roman"/>
          <w:lang w:val="en-US"/>
        </w:rPr>
        <w:fldChar w:fldCharType="begin" w:fldLock="1"/>
      </w:r>
      <w:r w:rsidR="000D0274" w:rsidRPr="00FF6BD7">
        <w:rPr>
          <w:rFonts w:ascii="Times New Roman" w:hAnsi="Times New Roman" w:cs="Times New Roman"/>
          <w:lang w:val="en-US"/>
        </w:rPr>
        <w:instrText>ADDIN CSL_CITATION {"citationItems":[{"id":"ITEM-1","itemData":{"abstract":"Abstrak: Tujuan dari penelitian ini adalah: 1) Untuk mengetahui pengaruh tingkat keuntungan (ROI) terhadap harga saham perusahaan perbankan yang terdaftar di Bursa Efek Indonesia. 2) Untuk mengetahui pengaruh pendapatan saham (EPS) terhadap harga saham perusahaan perbankan di Bursa Efek Indonesia. Populasi dalam penelitian ini adalah perusahaan-perusahaan perbankan yang terdapat di Bursa Efek Indonesia yaitu sebanyak 19 perusahaan dari tahun 20014– 2017. Metode sampling yang digunakan dalam penelitian ini adalah non probability sampling dengan teknik pengambilan sampel purpossive sampling. Sumber data dalam penelitian ini merupakan data sekunder yang diambil dari email Bursa Efek indonesia, dengan alamat: www.idx.co.id.Analisis data dilakukan dengan menggunakan analisis regresi linier berganda. Hasil penelitian menunjukkan bahwa: 1) Variabel Return on Invesment (ROI)mempunyai pengaruh signifikan terhadap harga saham perusahaan perbankan swasta yang terdaftar di Bursa Efek Indonesia. 2) Variabel Earning Per Share (EPS) terhadap harga saham perusahaan perbankan swasta yang terdaftar di Bursa Efek Indonesia.","author":[{"dropping-particle":"","family":"Firmansyah","given":"Ardy","non-dropping-particle":"","parse-names":false,"suffix":""},{"dropping-particle":"","family":"Rokhman","given":"M Taufiq Noor","non-dropping-particle":"","parse-names":false,"suffix":""},{"dropping-particle":"","family":"Firdaus","given":"Rizalnur","non-dropping-particle":"","parse-names":false,"suffix":""},{"dropping-particle":"","family":"Malang","given":"Universitas Wisnuwardhana","non-dropping-particle":"","parse-names":false,"suffix":""}],"container-title":"Universitas Wisnuwardhana press","id":"ITEM-1","issue":"1","issued":{"date-parts":[["2018"]]},"page":"1-7","title":"Pengaruh Tingkat Keuntungan Dan Pendapatan Saham Terhadap Harga Saham (Studi Pada Perusahaan Perbankan Swasta Yang Go Public Dan Terdaftar Di Bei)","type":"article-journal","volume":"1"},"uris":["http://www.mendeley.com/documents/?uuid=8295f580-cd81-4dec-bc05-e67de14d3c45"]}],"mendeley":{"formattedCitation":"(Firmansyah et al., 2018)","plainTextFormattedCitation":"(Firmansyah et al., 2018)","previouslyFormattedCitation":"(Firmansyah et al., 2018)"},"properties":{"noteIndex":0},"schema":"https://github.com/citation-style-language/schema/raw/master/csl-citation.json"}</w:instrText>
      </w:r>
      <w:r w:rsidR="00EB3999" w:rsidRPr="00FF6BD7">
        <w:rPr>
          <w:rFonts w:ascii="Times New Roman" w:hAnsi="Times New Roman" w:cs="Times New Roman"/>
          <w:lang w:val="en-US"/>
        </w:rPr>
        <w:fldChar w:fldCharType="separate"/>
      </w:r>
      <w:r w:rsidR="00EB3999" w:rsidRPr="00FF6BD7">
        <w:rPr>
          <w:rFonts w:ascii="Times New Roman" w:hAnsi="Times New Roman" w:cs="Times New Roman"/>
          <w:noProof/>
          <w:lang w:val="en-US"/>
        </w:rPr>
        <w:t>(Firmansyah et al., 2018)</w:t>
      </w:r>
      <w:r w:rsidR="00EB3999" w:rsidRPr="00FF6BD7">
        <w:rPr>
          <w:rFonts w:ascii="Times New Roman" w:hAnsi="Times New Roman" w:cs="Times New Roman"/>
          <w:lang w:val="en-US"/>
        </w:rPr>
        <w:fldChar w:fldCharType="end"/>
      </w:r>
      <w:r w:rsidR="00EB3999" w:rsidRPr="00FF6BD7">
        <w:rPr>
          <w:rFonts w:ascii="Times New Roman" w:hAnsi="Times New Roman" w:cs="Times New Roman"/>
          <w:lang w:val="en-US"/>
        </w:rPr>
        <w:t>.</w:t>
      </w:r>
    </w:p>
    <w:p w14:paraId="7102E2FB" w14:textId="242C89C0" w:rsidR="000D0274" w:rsidRPr="00FF6BD7" w:rsidRDefault="000D0274" w:rsidP="000D0274">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 xml:space="preserve">IDN Financials merupakan salah satu platform resmi berbasis </w:t>
      </w:r>
      <w:r w:rsidRPr="00FF6BD7">
        <w:rPr>
          <w:rFonts w:ascii="Times New Roman" w:hAnsi="Times New Roman" w:cs="Times New Roman"/>
          <w:i/>
          <w:iCs/>
          <w:lang w:val="en-US"/>
        </w:rPr>
        <w:t>website</w:t>
      </w:r>
      <w:r w:rsidRPr="00FF6BD7">
        <w:rPr>
          <w:rFonts w:ascii="Times New Roman" w:hAnsi="Times New Roman" w:cs="Times New Roman"/>
          <w:lang w:val="en-US"/>
        </w:rPr>
        <w:t xml:space="preserve"> yang berorientasi pada pelaporan dan pencatatan saham yang bekerja sama dengan Bursa Efek Indonesia (BEI) dalam perolehan datanya. Kehadiran Bursa Efek di Indonesia adalah </w:t>
      </w:r>
      <w:r w:rsidRPr="00FF6BD7">
        <w:rPr>
          <w:rFonts w:ascii="Times New Roman" w:hAnsi="Times New Roman" w:cs="Times New Roman"/>
          <w:lang w:val="en-US"/>
        </w:rPr>
        <w:lastRenderedPageBreak/>
        <w:t xml:space="preserve">salah satu faktor krusial dalam pengembangan ekonomi nasional, terbukti telah banyak industri dan perusahaan yang memanfaatkan lembaga ini sebagai sarana untuk menarik investasi dan sarana untuk memperkuat keuangan mereka </w:t>
      </w:r>
      <w:r w:rsidRPr="00FF6BD7">
        <w:rPr>
          <w:rFonts w:ascii="Times New Roman" w:hAnsi="Times New Roman" w:cs="Times New Roman"/>
          <w:lang w:val="en-US"/>
        </w:rPr>
        <w:fldChar w:fldCharType="begin" w:fldLock="1"/>
      </w:r>
      <w:r w:rsidR="00561E69" w:rsidRPr="00FF6BD7">
        <w:rPr>
          <w:rFonts w:ascii="Times New Roman" w:hAnsi="Times New Roman" w:cs="Times New Roman"/>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Kata","author":[{"dropping-particle":"","family":"Utami","given":"Vera Widya","non-dropping-particle":"","parse-names":false,"suffix":""},{"dropping-particle":"","family":"Kartika","given":"Rayna","non-dropping-particle":"","parse-names":false,"suffix":""}],"container-title":"Jurnal Sains Sosio Humaniora","id":"ITEM-1","issued":{"date-parts":[["2020"]]},"page":"1-23","title":"Investasi Saham pada Sektor Perbankan adalah Pilihan yang Tepat Bagi Investor di Pasar Modal","type":"article-journal","volume":"4"},"uris":["http://www.mendeley.com/documents/?uuid=e280495c-c7bc-4c7c-8192-d5a035aeaa0c"]}],"mendeley":{"formattedCitation":"(Utami &amp; Kartika, 2020)","plainTextFormattedCitation":"(Utami &amp; Kartika, 2020)","previouslyFormattedCitation":"(Utami &amp; Kartika, 2020)"},"properties":{"noteIndex":0},"schema":"https://github.com/citation-style-language/schema/raw/master/csl-citation.json"}</w:instrText>
      </w:r>
      <w:r w:rsidRPr="00FF6BD7">
        <w:rPr>
          <w:rFonts w:ascii="Times New Roman" w:hAnsi="Times New Roman" w:cs="Times New Roman"/>
          <w:lang w:val="en-US"/>
        </w:rPr>
        <w:fldChar w:fldCharType="separate"/>
      </w:r>
      <w:r w:rsidRPr="00FF6BD7">
        <w:rPr>
          <w:rFonts w:ascii="Times New Roman" w:hAnsi="Times New Roman" w:cs="Times New Roman"/>
          <w:noProof/>
          <w:lang w:val="en-US"/>
        </w:rPr>
        <w:t>(Utami &amp; Kartika, 2020)</w:t>
      </w:r>
      <w:r w:rsidRPr="00FF6BD7">
        <w:rPr>
          <w:rFonts w:ascii="Times New Roman" w:hAnsi="Times New Roman" w:cs="Times New Roman"/>
          <w:lang w:val="en-US"/>
        </w:rPr>
        <w:fldChar w:fldCharType="end"/>
      </w:r>
      <w:r w:rsidRPr="00FF6BD7">
        <w:rPr>
          <w:rFonts w:ascii="Times New Roman" w:hAnsi="Times New Roman" w:cs="Times New Roman"/>
          <w:lang w:val="en-US"/>
        </w:rPr>
        <w:t>.</w:t>
      </w:r>
    </w:p>
    <w:p w14:paraId="589D3071" w14:textId="3626B8DF" w:rsidR="00F564CF" w:rsidRPr="00FF6BD7" w:rsidRDefault="00272A21" w:rsidP="0042545F">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 xml:space="preserve">Penting bagi investor sebelum melakukan investasi pada suatu perusahaan terutama sektor perbankan, investor harus mengetahui bagaimana kinerja perusahaan bank tersebut dengan melihat pada profitabilitas bank. Salah satu </w:t>
      </w:r>
      <w:r w:rsidR="002071AC" w:rsidRPr="00FF6BD7">
        <w:rPr>
          <w:rFonts w:ascii="Times New Roman" w:hAnsi="Times New Roman" w:cs="Times New Roman"/>
          <w:lang w:val="en-US"/>
        </w:rPr>
        <w:t>indikator yang dapat dijadikan sebagai penilaian profitabilitas perusahaan bank adalah dengan kebijakan dividen yang dilakukan perusahaan kepada investornya. Kebijakan dividen dan keputusan</w:t>
      </w:r>
    </w:p>
    <w:p w14:paraId="4AD0E5F2" w14:textId="77AA3AC3" w:rsidR="00272A21" w:rsidRPr="00FF6BD7" w:rsidRDefault="002071AC" w:rsidP="00F564CF">
      <w:pPr>
        <w:pStyle w:val="ListParagraph"/>
        <w:spacing w:before="37" w:line="276" w:lineRule="auto"/>
        <w:ind w:left="0" w:right="34"/>
        <w:jc w:val="both"/>
        <w:rPr>
          <w:rFonts w:ascii="Times New Roman" w:hAnsi="Times New Roman" w:cs="Times New Roman"/>
          <w:lang w:val="en-US"/>
        </w:rPr>
      </w:pPr>
      <w:r w:rsidRPr="00FF6BD7">
        <w:rPr>
          <w:rFonts w:ascii="Times New Roman" w:hAnsi="Times New Roman" w:cs="Times New Roman"/>
          <w:lang w:val="en-US"/>
        </w:rPr>
        <w:t>investor dalam melakukan investasi dapat mempengaruhi harga saham yang berlaku, adanya kebijakan dividen memiliki pengaruh yang baik terhadap harga saham yang nantinya akan memberikan pengaruh terhadap keuntungan yang akan didapatkan investor.</w:t>
      </w:r>
    </w:p>
    <w:p w14:paraId="7F3A972A" w14:textId="3C73BAA3" w:rsidR="002071AC" w:rsidRPr="00FF6BD7" w:rsidRDefault="00BD37D0"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Ketika investor akan melakukan investasi saham, maka investor dapat melihat laporan dividen yang disajikan pada platform tersebut. Namun, dari berbagai catatan dividen yang tersedia pada platform digital tersebut, belum terdapat studi yang membandingkan dividen antar perusahan terutama pada sektor perbankan yang secara langsung dapat dipahami oleh khalayak calon investor.</w:t>
      </w:r>
    </w:p>
    <w:p w14:paraId="68EA8F5E" w14:textId="6144661F" w:rsidR="00BD37D0" w:rsidRPr="00FF6BD7" w:rsidRDefault="00BD37D0" w:rsidP="000B245B">
      <w:pPr>
        <w:pStyle w:val="ListParagraph"/>
        <w:spacing w:before="37" w:line="276" w:lineRule="auto"/>
        <w:ind w:left="0" w:right="34" w:firstLine="720"/>
        <w:jc w:val="both"/>
        <w:rPr>
          <w:rFonts w:ascii="Times New Roman" w:hAnsi="Times New Roman" w:cs="Times New Roman"/>
          <w:lang w:val="en-US"/>
        </w:rPr>
      </w:pPr>
      <w:r w:rsidRPr="00FF6BD7">
        <w:rPr>
          <w:rFonts w:ascii="Times New Roman" w:hAnsi="Times New Roman" w:cs="Times New Roman"/>
          <w:lang w:val="en-US"/>
        </w:rPr>
        <w:t xml:space="preserve">Berdasarkan paparan tersebut, maka peneliti melakukan penelitian mengenai analisis eksplorasi dan visualisasi data dividen pada sektor perbankan yang terdaftar di Bursa Efek Indonesia dengan memanfaatkan catatan data dividen masing-masing bank. Tujuan dilakukannya penelitian ini adalah untuk memberikan kemudahan serta rekomendasi perusahaan bank yang memiliki kemungkinan profitabilitas tinggi kepada para investor saham berdasarkan </w:t>
      </w:r>
      <w:r w:rsidR="0047672B" w:rsidRPr="00FF6BD7">
        <w:rPr>
          <w:rFonts w:ascii="Times New Roman" w:hAnsi="Times New Roman" w:cs="Times New Roman"/>
          <w:lang w:val="en-US"/>
        </w:rPr>
        <w:t>analisis</w:t>
      </w:r>
      <w:r w:rsidRPr="00FF6BD7">
        <w:rPr>
          <w:rFonts w:ascii="Times New Roman" w:hAnsi="Times New Roman" w:cs="Times New Roman"/>
          <w:lang w:val="en-US"/>
        </w:rPr>
        <w:t xml:space="preserve"> eksplorasi dan visualisasi data dividen masing-masing bank</w:t>
      </w:r>
      <w:r w:rsidR="0047672B" w:rsidRPr="00FF6BD7">
        <w:rPr>
          <w:rFonts w:ascii="Times New Roman" w:hAnsi="Times New Roman" w:cs="Times New Roman"/>
          <w:lang w:val="en-US"/>
        </w:rPr>
        <w:t>. Pada analisis dalam penelitian ini dilakukan 3 tahapan analisis, yaitu analisis rata-rata harga dividen per lembar masing-masing bank, analisis proporsi jenis mekanisme pembagian dividen, dan analisis per</w:t>
      </w:r>
      <w:r w:rsidR="005E03CC" w:rsidRPr="00FF6BD7">
        <w:rPr>
          <w:rFonts w:ascii="Times New Roman" w:hAnsi="Times New Roman" w:cs="Times New Roman"/>
          <w:lang w:val="en-US"/>
        </w:rPr>
        <w:t>ubahan</w:t>
      </w:r>
      <w:r w:rsidR="0047672B" w:rsidRPr="00FF6BD7">
        <w:rPr>
          <w:rFonts w:ascii="Times New Roman" w:hAnsi="Times New Roman" w:cs="Times New Roman"/>
          <w:lang w:val="en-US"/>
        </w:rPr>
        <w:t xml:space="preserve"> harga dividen </w:t>
      </w:r>
      <w:r w:rsidR="0047672B" w:rsidRPr="00FF6BD7">
        <w:rPr>
          <w:rFonts w:ascii="Times New Roman" w:hAnsi="Times New Roman" w:cs="Times New Roman"/>
          <w:lang w:val="en-US"/>
        </w:rPr>
        <w:lastRenderedPageBreak/>
        <w:t xml:space="preserve">per lembar </w:t>
      </w:r>
      <w:r w:rsidR="005E03CC" w:rsidRPr="00FF6BD7">
        <w:rPr>
          <w:rFonts w:ascii="Times New Roman" w:hAnsi="Times New Roman" w:cs="Times New Roman"/>
          <w:lang w:val="en-US"/>
        </w:rPr>
        <w:t xml:space="preserve">masing-masing bank </w:t>
      </w:r>
      <w:r w:rsidR="0047672B" w:rsidRPr="00FF6BD7">
        <w:rPr>
          <w:rFonts w:ascii="Times New Roman" w:hAnsi="Times New Roman" w:cs="Times New Roman"/>
          <w:lang w:val="en-US"/>
        </w:rPr>
        <w:t>dalam periode 2013-2023.</w:t>
      </w:r>
    </w:p>
    <w:p w14:paraId="0C2030CF" w14:textId="77777777" w:rsidR="00D0701B" w:rsidRDefault="00D0701B" w:rsidP="000B245B">
      <w:pPr>
        <w:pStyle w:val="ListParagraph"/>
        <w:spacing w:before="37" w:line="276" w:lineRule="auto"/>
        <w:ind w:left="0" w:right="34" w:firstLine="720"/>
        <w:jc w:val="both"/>
        <w:rPr>
          <w:rFonts w:ascii="Times New Roman" w:hAnsi="Times New Roman" w:cs="Times New Roman"/>
          <w:lang w:val="en-US"/>
        </w:rPr>
      </w:pPr>
    </w:p>
    <w:p w14:paraId="0B35D6DE" w14:textId="77777777" w:rsidR="00FF6BD7" w:rsidRDefault="00FF6BD7" w:rsidP="000B245B">
      <w:pPr>
        <w:pStyle w:val="ListParagraph"/>
        <w:spacing w:before="37" w:line="276" w:lineRule="auto"/>
        <w:ind w:left="0" w:right="34" w:firstLine="720"/>
        <w:jc w:val="both"/>
        <w:rPr>
          <w:rFonts w:ascii="Times New Roman" w:hAnsi="Times New Roman" w:cs="Times New Roman"/>
          <w:lang w:val="en-US"/>
        </w:rPr>
      </w:pPr>
    </w:p>
    <w:p w14:paraId="064D3EFA" w14:textId="77777777" w:rsidR="00FF6BD7" w:rsidRDefault="00FF6BD7" w:rsidP="000B245B">
      <w:pPr>
        <w:pStyle w:val="ListParagraph"/>
        <w:spacing w:before="37" w:line="276" w:lineRule="auto"/>
        <w:ind w:left="0" w:right="34" w:firstLine="720"/>
        <w:jc w:val="both"/>
        <w:rPr>
          <w:rFonts w:ascii="Times New Roman" w:hAnsi="Times New Roman" w:cs="Times New Roman"/>
          <w:lang w:val="en-US"/>
        </w:rPr>
      </w:pPr>
    </w:p>
    <w:p w14:paraId="2CA266A2" w14:textId="77777777" w:rsidR="00FF6BD7" w:rsidRPr="00FF6BD7" w:rsidRDefault="00FF6BD7" w:rsidP="000B245B">
      <w:pPr>
        <w:pStyle w:val="ListParagraph"/>
        <w:spacing w:before="37" w:line="276" w:lineRule="auto"/>
        <w:ind w:left="0" w:right="34" w:firstLine="720"/>
        <w:jc w:val="both"/>
        <w:rPr>
          <w:rFonts w:ascii="Times New Roman" w:hAnsi="Times New Roman" w:cs="Times New Roman"/>
          <w:lang w:val="en-US"/>
        </w:rPr>
      </w:pPr>
    </w:p>
    <w:p w14:paraId="19335623" w14:textId="624D8591" w:rsidR="002B4FE6" w:rsidRPr="00FF6BD7" w:rsidRDefault="002B4FE6" w:rsidP="001B4C22">
      <w:pPr>
        <w:pStyle w:val="ListParagraph"/>
        <w:numPr>
          <w:ilvl w:val="0"/>
          <w:numId w:val="16"/>
        </w:numPr>
        <w:spacing w:line="276" w:lineRule="auto"/>
        <w:ind w:left="426" w:hanging="437"/>
        <w:jc w:val="both"/>
        <w:rPr>
          <w:rFonts w:ascii="Times New Roman" w:hAnsi="Times New Roman" w:cs="Times New Roman"/>
        </w:rPr>
      </w:pPr>
      <w:r w:rsidRPr="00FF6BD7">
        <w:rPr>
          <w:rFonts w:ascii="Times New Roman" w:hAnsi="Times New Roman" w:cs="Times New Roman"/>
          <w:b/>
          <w:spacing w:val="-1"/>
        </w:rPr>
        <w:t>T</w:t>
      </w:r>
      <w:r w:rsidRPr="00FF6BD7">
        <w:rPr>
          <w:rFonts w:ascii="Times New Roman" w:hAnsi="Times New Roman" w:cs="Times New Roman"/>
          <w:b/>
        </w:rPr>
        <w:t>INJ</w:t>
      </w:r>
      <w:r w:rsidRPr="00FF6BD7">
        <w:rPr>
          <w:rFonts w:ascii="Times New Roman" w:hAnsi="Times New Roman" w:cs="Times New Roman"/>
          <w:b/>
          <w:spacing w:val="-2"/>
        </w:rPr>
        <w:t>A</w:t>
      </w:r>
      <w:r w:rsidRPr="00FF6BD7">
        <w:rPr>
          <w:rFonts w:ascii="Times New Roman" w:hAnsi="Times New Roman" w:cs="Times New Roman"/>
          <w:b/>
          <w:spacing w:val="-1"/>
        </w:rPr>
        <w:t>UA</w:t>
      </w:r>
      <w:r w:rsidRPr="00FF6BD7">
        <w:rPr>
          <w:rFonts w:ascii="Times New Roman" w:hAnsi="Times New Roman" w:cs="Times New Roman"/>
          <w:b/>
        </w:rPr>
        <w:t>N</w:t>
      </w:r>
      <w:r w:rsidRPr="00FF6BD7">
        <w:rPr>
          <w:rFonts w:ascii="Times New Roman" w:hAnsi="Times New Roman" w:cs="Times New Roman"/>
          <w:b/>
          <w:spacing w:val="-1"/>
        </w:rPr>
        <w:t xml:space="preserve"> </w:t>
      </w:r>
      <w:r w:rsidRPr="00FF6BD7">
        <w:rPr>
          <w:rFonts w:ascii="Times New Roman" w:hAnsi="Times New Roman" w:cs="Times New Roman"/>
          <w:b/>
          <w:spacing w:val="2"/>
        </w:rPr>
        <w:t>P</w:t>
      </w:r>
      <w:r w:rsidRPr="00FF6BD7">
        <w:rPr>
          <w:rFonts w:ascii="Times New Roman" w:hAnsi="Times New Roman" w:cs="Times New Roman"/>
          <w:b/>
          <w:spacing w:val="-1"/>
        </w:rPr>
        <w:t>U</w:t>
      </w:r>
      <w:r w:rsidRPr="00FF6BD7">
        <w:rPr>
          <w:rFonts w:ascii="Times New Roman" w:hAnsi="Times New Roman" w:cs="Times New Roman"/>
          <w:b/>
        </w:rPr>
        <w:t>S</w:t>
      </w:r>
      <w:r w:rsidRPr="00FF6BD7">
        <w:rPr>
          <w:rFonts w:ascii="Times New Roman" w:hAnsi="Times New Roman" w:cs="Times New Roman"/>
          <w:b/>
          <w:spacing w:val="-1"/>
        </w:rPr>
        <w:t>TA</w:t>
      </w:r>
      <w:r w:rsidRPr="00FF6BD7">
        <w:rPr>
          <w:rFonts w:ascii="Times New Roman" w:hAnsi="Times New Roman" w:cs="Times New Roman"/>
          <w:b/>
          <w:spacing w:val="1"/>
        </w:rPr>
        <w:t>K</w:t>
      </w:r>
      <w:r w:rsidRPr="00FF6BD7">
        <w:rPr>
          <w:rFonts w:ascii="Times New Roman" w:hAnsi="Times New Roman" w:cs="Times New Roman"/>
          <w:b/>
        </w:rPr>
        <w:t>A</w:t>
      </w:r>
    </w:p>
    <w:p w14:paraId="617C48B1" w14:textId="56EF69B8" w:rsidR="002B4FE6" w:rsidRPr="00FF6BD7" w:rsidRDefault="002B4FE6" w:rsidP="002B4FE6">
      <w:pPr>
        <w:spacing w:line="276" w:lineRule="auto"/>
        <w:ind w:right="34"/>
        <w:jc w:val="both"/>
        <w:rPr>
          <w:sz w:val="22"/>
          <w:szCs w:val="22"/>
        </w:rPr>
      </w:pPr>
      <w:r w:rsidRPr="00FF6BD7">
        <w:rPr>
          <w:b/>
          <w:sz w:val="22"/>
          <w:szCs w:val="22"/>
        </w:rPr>
        <w:t>Analisi</w:t>
      </w:r>
      <w:r w:rsidR="00A52AE3" w:rsidRPr="00FF6BD7">
        <w:rPr>
          <w:b/>
          <w:sz w:val="22"/>
          <w:szCs w:val="22"/>
        </w:rPr>
        <w:t>s Explorasi dan Visualisasi</w:t>
      </w:r>
    </w:p>
    <w:p w14:paraId="5BCAA694" w14:textId="383768A5" w:rsidR="002B4FE6" w:rsidRPr="00FF6BD7" w:rsidRDefault="000C433A" w:rsidP="000C433A">
      <w:pPr>
        <w:tabs>
          <w:tab w:val="left" w:pos="426"/>
        </w:tabs>
        <w:spacing w:before="32" w:line="276" w:lineRule="auto"/>
        <w:ind w:right="76"/>
        <w:jc w:val="both"/>
        <w:rPr>
          <w:spacing w:val="-4"/>
          <w:sz w:val="22"/>
          <w:szCs w:val="22"/>
        </w:rPr>
      </w:pPr>
      <w:r w:rsidRPr="00FF6BD7">
        <w:rPr>
          <w:spacing w:val="-4"/>
          <w:sz w:val="22"/>
          <w:szCs w:val="22"/>
        </w:rPr>
        <w:tab/>
      </w:r>
      <w:r w:rsidR="00571C5D" w:rsidRPr="00FF6BD7">
        <w:rPr>
          <w:spacing w:val="-4"/>
          <w:sz w:val="22"/>
          <w:szCs w:val="22"/>
        </w:rPr>
        <w:t>Eksplorasi data adalah teknik analisis data dalam bidang statistika yang memungkinkan kita untuk memahami gambaran umum tentang populasi melalui penggunaan visualisasi data. Visualisasi</w:t>
      </w:r>
      <w:r w:rsidR="00B221DC" w:rsidRPr="00FF6BD7">
        <w:rPr>
          <w:spacing w:val="-4"/>
          <w:sz w:val="22"/>
          <w:szCs w:val="22"/>
        </w:rPr>
        <w:t xml:space="preserve"> </w:t>
      </w:r>
      <w:r w:rsidR="00571C5D" w:rsidRPr="00FF6BD7">
        <w:rPr>
          <w:spacing w:val="-4"/>
          <w:sz w:val="22"/>
          <w:szCs w:val="22"/>
        </w:rPr>
        <w:t>d</w:t>
      </w:r>
      <w:r w:rsidR="00B221DC" w:rsidRPr="00FF6BD7">
        <w:rPr>
          <w:spacing w:val="-4"/>
          <w:sz w:val="22"/>
          <w:szCs w:val="22"/>
        </w:rPr>
        <w:t>ata adalah suatu proses untuk menampilkan data, baik yang terstruktur maupun tidak terstruktur, dalam bentuk visual seperti tabel, diagram, atau grafik agar mudah dipahami oleh orang yang tidak ahli dalam bidang tersebut. Tujuannya adalah untuk menarik minat dan memudahkan pemahaman terhadap informasi yang terkandung dalam data</w:t>
      </w:r>
      <w:r w:rsidR="001B4C22" w:rsidRPr="00FF6BD7">
        <w:rPr>
          <w:spacing w:val="-4"/>
          <w:sz w:val="22"/>
          <w:szCs w:val="22"/>
        </w:rPr>
        <w:t xml:space="preserve"> </w:t>
      </w:r>
      <w:r w:rsidR="001B4C22" w:rsidRPr="00FF6BD7">
        <w:rPr>
          <w:spacing w:val="-4"/>
          <w:sz w:val="22"/>
          <w:szCs w:val="22"/>
        </w:rPr>
        <w:fldChar w:fldCharType="begin" w:fldLock="1"/>
      </w:r>
      <w:r w:rsidR="001B4C22" w:rsidRPr="00FF6BD7">
        <w:rPr>
          <w:spacing w:val="-4"/>
          <w:sz w:val="22"/>
          <w:szCs w:val="22"/>
        </w:rPr>
        <w:instrText>ADDIN CSL_CITATION {"citationItems":[{"id":"ITEM-1","itemData":{"URL":"https://eksplorasidata.mipa.ugm.ac.id/2021/08/20/mengenal-apa-itu-visualisasi-data/","accessed":{"date-parts":[["2023","6","26"]]},"author":[{"dropping-particle":"","family":"Lestari","given":"Vemmie","non-dropping-particle":"","parse-names":false,"suffix":""}],"container-title":"https://eksplorasidata.mipa.ugm.ac.id/","id":"ITEM-1","issued":{"date-parts":[["2021"]]},"title":"Mengenal Apa Itu Visualisasi Data?","type":"webpage"},"uris":["http://www.mendeley.com/documents/?uuid=dceafe1c-e1c6-4a48-954c-229cdca12e77"]}],"mendeley":{"formattedCitation":"(Lestari, 2021)","plainTextFormattedCitation":"(Lestari, 2021)","previouslyFormattedCitation":"(Lestari, 2021)"},"properties":{"noteIndex":0},"schema":"https://github.com/citation-style-language/schema/raw/master/csl-citation.json"}</w:instrText>
      </w:r>
      <w:r w:rsidR="001B4C22" w:rsidRPr="00FF6BD7">
        <w:rPr>
          <w:spacing w:val="-4"/>
          <w:sz w:val="22"/>
          <w:szCs w:val="22"/>
        </w:rPr>
        <w:fldChar w:fldCharType="separate"/>
      </w:r>
      <w:r w:rsidR="001B4C22" w:rsidRPr="00FF6BD7">
        <w:rPr>
          <w:noProof/>
          <w:spacing w:val="-4"/>
          <w:sz w:val="22"/>
          <w:szCs w:val="22"/>
        </w:rPr>
        <w:t>(Lestari, 2021)</w:t>
      </w:r>
      <w:r w:rsidR="001B4C22" w:rsidRPr="00FF6BD7">
        <w:rPr>
          <w:spacing w:val="-4"/>
          <w:sz w:val="22"/>
          <w:szCs w:val="22"/>
        </w:rPr>
        <w:fldChar w:fldCharType="end"/>
      </w:r>
      <w:r w:rsidR="001B4C22" w:rsidRPr="00FF6BD7">
        <w:rPr>
          <w:spacing w:val="-4"/>
          <w:sz w:val="22"/>
          <w:szCs w:val="22"/>
        </w:rPr>
        <w:t>.</w:t>
      </w:r>
    </w:p>
    <w:p w14:paraId="5E903CA3" w14:textId="77777777" w:rsidR="005C4B23" w:rsidRPr="00FF6BD7" w:rsidRDefault="005C4B23" w:rsidP="002B4FE6">
      <w:pPr>
        <w:pStyle w:val="ListParagraph"/>
        <w:tabs>
          <w:tab w:val="left" w:pos="426"/>
        </w:tabs>
        <w:spacing w:before="32" w:line="276" w:lineRule="auto"/>
        <w:ind w:left="0" w:right="76"/>
        <w:jc w:val="both"/>
        <w:rPr>
          <w:rFonts w:ascii="Times New Roman" w:hAnsi="Times New Roman" w:cs="Times New Roman"/>
          <w:b/>
          <w:lang w:val="en-US"/>
        </w:rPr>
      </w:pPr>
      <w:r w:rsidRPr="00FF6BD7">
        <w:rPr>
          <w:rFonts w:ascii="Times New Roman" w:hAnsi="Times New Roman" w:cs="Times New Roman"/>
          <w:b/>
          <w:lang w:val="en-US"/>
        </w:rPr>
        <w:t>Investasi</w:t>
      </w:r>
    </w:p>
    <w:p w14:paraId="037A660D" w14:textId="1D64189C" w:rsidR="005C4B23" w:rsidRPr="00FF6BD7" w:rsidRDefault="000C433A" w:rsidP="002B4FE6">
      <w:pPr>
        <w:pStyle w:val="ListParagraph"/>
        <w:tabs>
          <w:tab w:val="left" w:pos="426"/>
        </w:tabs>
        <w:spacing w:before="32" w:line="276" w:lineRule="auto"/>
        <w:ind w:left="0" w:right="76"/>
        <w:jc w:val="both"/>
        <w:rPr>
          <w:rFonts w:ascii="Times New Roman" w:hAnsi="Times New Roman" w:cs="Times New Roman"/>
          <w:bCs/>
          <w:lang w:val="en-US"/>
        </w:rPr>
      </w:pPr>
      <w:bookmarkStart w:id="1" w:name="_Hlk138877838"/>
      <w:r w:rsidRPr="00FF6BD7">
        <w:rPr>
          <w:rFonts w:ascii="Times New Roman" w:hAnsi="Times New Roman" w:cs="Times New Roman"/>
          <w:bCs/>
          <w:lang w:val="en-US"/>
        </w:rPr>
        <w:tab/>
      </w:r>
      <w:r w:rsidR="005C4B23" w:rsidRPr="00FF6BD7">
        <w:rPr>
          <w:rFonts w:ascii="Times New Roman" w:hAnsi="Times New Roman" w:cs="Times New Roman"/>
          <w:bCs/>
          <w:lang w:val="en-US"/>
        </w:rPr>
        <w:t xml:space="preserve">Pengikatan pada sejumlah uang atau aset lain yang dilakukan saat ini dengan harapan memperoleh keuntungan di masa depan </w:t>
      </w:r>
      <w:bookmarkEnd w:id="1"/>
      <w:r w:rsidR="005C4B23" w:rsidRPr="00FF6BD7">
        <w:rPr>
          <w:rFonts w:ascii="Times New Roman" w:hAnsi="Times New Roman" w:cs="Times New Roman"/>
          <w:bCs/>
          <w:lang w:val="en-US"/>
        </w:rPr>
        <w:t>disebut sebagai investasi. Arti investasi merujuk pada beragam kegiatan, seperti membeli aset keuangan seperti saham, deposito, reksa dana, obligasi, atau aset fisik seperti emas, properti, bangunan, atau mesin. Pelaku investasi dikenal sebagai investor</w:t>
      </w:r>
      <w:r w:rsidR="001B4C22" w:rsidRPr="00FF6BD7">
        <w:rPr>
          <w:rFonts w:ascii="Times New Roman" w:hAnsi="Times New Roman" w:cs="Times New Roman"/>
          <w:bCs/>
          <w:lang w:val="en-US"/>
        </w:rPr>
        <w:t xml:space="preserve"> </w:t>
      </w:r>
      <w:r w:rsidR="001B4C22" w:rsidRPr="00FF6BD7">
        <w:rPr>
          <w:rFonts w:ascii="Times New Roman" w:hAnsi="Times New Roman" w:cs="Times New Roman"/>
          <w:bCs/>
          <w:lang w:val="en-US"/>
        </w:rPr>
        <w:fldChar w:fldCharType="begin" w:fldLock="1"/>
      </w:r>
      <w:r w:rsidR="001B4C22" w:rsidRPr="00FF6BD7">
        <w:rPr>
          <w:rFonts w:ascii="Times New Roman" w:hAnsi="Times New Roman" w:cs="Times New Roman"/>
          <w:bCs/>
          <w:lang w:val="en-US"/>
        </w:rPr>
        <w:instrText>ADDIN CSL_CITATION {"citationItems":[{"id":"ITEM-1","itemData":{"abstract":"Penelitian ini bertujuan untuk mencari nilai intrinsik dari harga saham perusahaan sub sektor makanan dan minuman, perkebunan, dan pertambangan batu bara. Data yang digunakan dalam penelitian ini adalah data historis dari laporan keuangan dan laporan tahunan perusahaan pada tahun 2017–2021. Data tersebut digunakan untuk menghitung nilai intrinsik yang akan dibandingkan dengan harga pasar menggunakan analisis fundamental dengan metode Dividend Discount model (DDM) dan Price Earning Ratio (PER). Penelitian ini menggunakan objek penelitian saham perusahaan sub sektor makanan dan minuman, perkebunan, dan pertambangan batu bara yang sudah terdaftar di BEI periode tahun 2017– 2021. Dalam penelitian ini teknik pengumpulan data yang digunakan adalah teknik purposive sampling. Dalam penelitian ini diperoleh kesimpulan bahwa dengan menggunakan DDM Pertumbuhan konstan terdapat dua puluh satu saham dinilai undervalued, dan satu saham dinilai overvalued. Menggunakan metode DDM Pertumbuhan tidak konstan terdapat dua puluh saham dinilai undervalued, dan dua saham dinilai overvalued, Menggunakan PER terdapat dua puluh satu saham dinilai undervalued, dan satu saham dinilai overvalued.","author":[{"dropping-particle":"","family":"Hairul","given":"Iqbal","non-dropping-particle":"","parse-names":false,"suffix":""},{"dropping-particle":"","family":"A","given":"","non-dropping-particle":"","parse-names":false,"suffix":""}],"container-title":"Selekta Manajemen: Jurnal Mahasiswa Bisnis &amp; Manajemen","id":"ITEM-1","issue":"06","issued":{"date-parts":[["2022"]]},"page":"123-134","title":"Valuasi Saham dengan Dividend Discount Model ( DDM ) dan Price Earning Ratio ( PER ) untuk Pengambilan Keputusan Investasi ( Studi Kasus pada Perusahaan Sub Sektor Makanan","type":"article-journal","volume":"01"},"uris":["http://www.mendeley.com/documents/?uuid=c8b1bb45-f48b-4118-ae60-f3e8cbe1741d"]}],"mendeley":{"formattedCitation":"(Hairul &amp; A, 2022)","plainTextFormattedCitation":"(Hairul &amp; A, 2022)","previouslyFormattedCitation":"(Hairul &amp; A, 2022)"},"properties":{"noteIndex":0},"schema":"https://github.com/citation-style-language/schema/raw/master/csl-citation.json"}</w:instrText>
      </w:r>
      <w:r w:rsidR="001B4C22" w:rsidRPr="00FF6BD7">
        <w:rPr>
          <w:rFonts w:ascii="Times New Roman" w:hAnsi="Times New Roman" w:cs="Times New Roman"/>
          <w:bCs/>
          <w:lang w:val="en-US"/>
        </w:rPr>
        <w:fldChar w:fldCharType="separate"/>
      </w:r>
      <w:r w:rsidR="001B4C22" w:rsidRPr="00FF6BD7">
        <w:rPr>
          <w:rFonts w:ascii="Times New Roman" w:hAnsi="Times New Roman" w:cs="Times New Roman"/>
          <w:bCs/>
          <w:noProof/>
          <w:lang w:val="en-US"/>
        </w:rPr>
        <w:t>(Hairul &amp; A, 2022)</w:t>
      </w:r>
      <w:r w:rsidR="001B4C22" w:rsidRPr="00FF6BD7">
        <w:rPr>
          <w:rFonts w:ascii="Times New Roman" w:hAnsi="Times New Roman" w:cs="Times New Roman"/>
          <w:bCs/>
          <w:lang w:val="en-US"/>
        </w:rPr>
        <w:fldChar w:fldCharType="end"/>
      </w:r>
      <w:r w:rsidR="001B4C22" w:rsidRPr="00FF6BD7">
        <w:rPr>
          <w:rFonts w:ascii="Times New Roman" w:hAnsi="Times New Roman" w:cs="Times New Roman"/>
          <w:bCs/>
          <w:lang w:val="en-US"/>
        </w:rPr>
        <w:t>.</w:t>
      </w:r>
    </w:p>
    <w:p w14:paraId="7090EE72" w14:textId="688F5A83" w:rsidR="00571C5D" w:rsidRPr="00FF6BD7" w:rsidRDefault="00A52AE3" w:rsidP="002B4FE6">
      <w:pPr>
        <w:pStyle w:val="ListParagraph"/>
        <w:tabs>
          <w:tab w:val="left" w:pos="426"/>
        </w:tabs>
        <w:spacing w:before="32" w:line="276" w:lineRule="auto"/>
        <w:ind w:left="0" w:right="76"/>
        <w:jc w:val="both"/>
        <w:rPr>
          <w:rFonts w:ascii="Times New Roman" w:hAnsi="Times New Roman" w:cs="Times New Roman"/>
          <w:b/>
          <w:lang w:val="en-US"/>
        </w:rPr>
      </w:pPr>
      <w:r w:rsidRPr="00FF6BD7">
        <w:rPr>
          <w:rFonts w:ascii="Times New Roman" w:hAnsi="Times New Roman" w:cs="Times New Roman"/>
          <w:b/>
          <w:lang w:val="en-US"/>
        </w:rPr>
        <w:t>Saham</w:t>
      </w:r>
    </w:p>
    <w:p w14:paraId="6B3096A9" w14:textId="2410EBEB" w:rsidR="001151B4" w:rsidRPr="00FF6BD7" w:rsidRDefault="000C433A" w:rsidP="002B4FE6">
      <w:pPr>
        <w:pStyle w:val="ListParagraph"/>
        <w:tabs>
          <w:tab w:val="left" w:pos="426"/>
        </w:tabs>
        <w:spacing w:before="32" w:line="276" w:lineRule="auto"/>
        <w:ind w:left="0" w:right="76"/>
        <w:jc w:val="both"/>
        <w:rPr>
          <w:rFonts w:ascii="Times New Roman" w:hAnsi="Times New Roman" w:cs="Times New Roman"/>
          <w:bCs/>
          <w:lang w:val="en-US"/>
        </w:rPr>
      </w:pPr>
      <w:r w:rsidRPr="00FF6BD7">
        <w:rPr>
          <w:rFonts w:ascii="Times New Roman" w:hAnsi="Times New Roman" w:cs="Times New Roman"/>
          <w:bCs/>
          <w:lang w:val="en-US"/>
        </w:rPr>
        <w:tab/>
      </w:r>
      <w:r w:rsidR="001151B4" w:rsidRPr="00FF6BD7">
        <w:rPr>
          <w:rFonts w:ascii="Times New Roman" w:hAnsi="Times New Roman" w:cs="Times New Roman"/>
          <w:bCs/>
          <w:lang w:val="en-US"/>
        </w:rPr>
        <w:t>Saham ialah tanda partisipasi modal seseorang atau entitas (pengusaha) dalam suatu perusahaan atau firma terbatas. Dengan menyediakan modal tersebut, maka pihak tersebut memiliki hak atas keuntungan perusahaan, hak atas aset perusahaan, dan berhak hadir dalam Rapat Umum Pemegang Saham (RUPS)</w:t>
      </w:r>
      <w:r w:rsidR="001B4C22" w:rsidRPr="00FF6BD7">
        <w:rPr>
          <w:rFonts w:ascii="Times New Roman" w:hAnsi="Times New Roman" w:cs="Times New Roman"/>
          <w:bCs/>
          <w:lang w:val="en-US"/>
        </w:rPr>
        <w:t xml:space="preserve"> </w:t>
      </w:r>
      <w:r w:rsidR="001B4C22" w:rsidRPr="00FF6BD7">
        <w:rPr>
          <w:rFonts w:ascii="Times New Roman" w:hAnsi="Times New Roman" w:cs="Times New Roman"/>
          <w:bCs/>
          <w:lang w:val="en-US"/>
        </w:rPr>
        <w:fldChar w:fldCharType="begin" w:fldLock="1"/>
      </w:r>
      <w:r w:rsidR="009F52B1" w:rsidRPr="00FF6BD7">
        <w:rPr>
          <w:rFonts w:ascii="Times New Roman" w:hAnsi="Times New Roman" w:cs="Times New Roman"/>
          <w:bCs/>
          <w:lang w:val="en-US"/>
        </w:rPr>
        <w:instrText>ADDIN CSL_CITATION {"citationItems":[{"id":"ITEM-1","itemData":{"ISSN":"2015-2019","abstract":"Penelitian  ini  bertujuan  untuk  menganalisis  pengaruh Current  Ratio, Debt  to  Equity  Ratio, Return on Equityterhadap harga saham pada perusahaan sub sektor konstruksi yang terdaftar di Indeks  IDX  Value  30  Periode  2015-2019.  Data  diperoleh  dari  laporan  keuangan  yang  telah diterbitkan  oleh  perusahaan  dan  Bursa  Efek  Indonesia  dengan  periode  waktu  Tahun  2015-2019. Populasi penelitian yaitu perusahaan yang terdaftar di Indeks IDX Value 30 dengan pengambilan sampel  yaitu  perusahaan  sub  sektor  konstruksi  yang  masuk  dalam  Indeks  IDX  Value  30.  Teknik pemilihan  sampel  dengan  metode  purposive  sampling.Metode  analisis  yang  digunakan  dalam penelitian  ini  adalah  regresi  linear  berganda,  uji  t  dan  uji  F  untuk  memperoleh  hasil  mengenai pengaruh  variabel  independen  terhadap  variabel  dependen.  Hasil  penelitian  menunjukan  bahwa variabel Current  Ratio (CR)  dan Return  on  Equity (ROE)  tidak  berpengaruh  secara  parsial terhadap  harga  saham,  sedangkan Debt  to  Equity  Ratio (DER)  berpengaruh  secara  parsial terhadap  harga  saham. Current  Ratio(CR), Debt  to  Equity  Ratio(DER)  dan Return  on  Equity(ROE)  berpengaruh  secara  simultan  terhadap  harga  saham.  Hasil  Koefisien  Determinasi  (R2) menunjukan  bahwa  variabel  CR,  DER,  ROE  memiliki  pengaruh  sebesar  24,5%  terhadap  harga saham sedangkan sisanya 75,5% dipengaruhi oleh faktor lain yang tidak dibahas dalam penelitian ini.","author":[{"dropping-particle":"","family":"Partomuan","given":"Febby Trinanda","non-dropping-particle":"","parse-names":false,"suffix":""}],"container-title":"JIMEN Jurnal Inovatif Mahasiswa Manajemen","id":"ITEM-1","issue":"3","issued":{"date-parts":[["2021"]]},"page":"242-255","title":"Pengaruh Cr, Der Dan Roe Terhadap Harga Saham Pada Perusahaan Sub Sektor Konstruksi Yang Terdaftar Di Indeks Idx Value 30 Periode 2015-2019","type":"article-journal","volume":"1"},"uris":["http://www.mendeley.com/documents/?uuid=b385c974-edf9-4be0-af34-cd93d49ba98c"]}],"mendeley":{"formattedCitation":"(Partomuan, 2021)","plainTextFormattedCitation":"(Partomuan, 2021)","previouslyFormattedCitation":"(Partomuan, 2021)"},"properties":{"noteIndex":0},"schema":"https://github.com/citation-style-language/schema/raw/master/csl-citation.json"}</w:instrText>
      </w:r>
      <w:r w:rsidR="001B4C22" w:rsidRPr="00FF6BD7">
        <w:rPr>
          <w:rFonts w:ascii="Times New Roman" w:hAnsi="Times New Roman" w:cs="Times New Roman"/>
          <w:bCs/>
          <w:lang w:val="en-US"/>
        </w:rPr>
        <w:fldChar w:fldCharType="separate"/>
      </w:r>
      <w:r w:rsidR="001B4C22" w:rsidRPr="00FF6BD7">
        <w:rPr>
          <w:rFonts w:ascii="Times New Roman" w:hAnsi="Times New Roman" w:cs="Times New Roman"/>
          <w:bCs/>
          <w:noProof/>
          <w:lang w:val="en-US"/>
        </w:rPr>
        <w:t>(Partomuan, 2021)</w:t>
      </w:r>
      <w:r w:rsidR="001B4C22" w:rsidRPr="00FF6BD7">
        <w:rPr>
          <w:rFonts w:ascii="Times New Roman" w:hAnsi="Times New Roman" w:cs="Times New Roman"/>
          <w:bCs/>
          <w:lang w:val="en-US"/>
        </w:rPr>
        <w:fldChar w:fldCharType="end"/>
      </w:r>
      <w:r w:rsidR="001B4C22" w:rsidRPr="00FF6BD7">
        <w:rPr>
          <w:rFonts w:ascii="Times New Roman" w:hAnsi="Times New Roman" w:cs="Times New Roman"/>
          <w:bCs/>
          <w:lang w:val="en-US"/>
        </w:rPr>
        <w:t>.</w:t>
      </w:r>
    </w:p>
    <w:p w14:paraId="598B6A33" w14:textId="7E2141B0" w:rsidR="00263E53" w:rsidRPr="00FF6BD7" w:rsidRDefault="001151B4" w:rsidP="00263E53">
      <w:pPr>
        <w:pStyle w:val="ListParagraph"/>
        <w:tabs>
          <w:tab w:val="left" w:pos="426"/>
        </w:tabs>
        <w:spacing w:before="32" w:line="276" w:lineRule="auto"/>
        <w:ind w:left="0" w:right="76"/>
        <w:jc w:val="both"/>
        <w:rPr>
          <w:rFonts w:ascii="Times New Roman" w:hAnsi="Times New Roman" w:cs="Times New Roman"/>
          <w:bCs/>
          <w:lang w:val="en-US"/>
        </w:rPr>
      </w:pPr>
      <w:r w:rsidRPr="00FF6BD7">
        <w:rPr>
          <w:rFonts w:ascii="Times New Roman" w:hAnsi="Times New Roman" w:cs="Times New Roman"/>
          <w:bCs/>
          <w:lang w:val="en-US"/>
        </w:rPr>
        <w:t xml:space="preserve">Terdapat </w:t>
      </w:r>
      <w:r w:rsidR="00263E53" w:rsidRPr="00FF6BD7">
        <w:rPr>
          <w:rFonts w:ascii="Times New Roman" w:hAnsi="Times New Roman" w:cs="Times New Roman"/>
          <w:bCs/>
          <w:lang w:val="en-US"/>
        </w:rPr>
        <w:t>2</w:t>
      </w:r>
      <w:r w:rsidRPr="00FF6BD7">
        <w:rPr>
          <w:rFonts w:ascii="Times New Roman" w:hAnsi="Times New Roman" w:cs="Times New Roman"/>
          <w:bCs/>
          <w:lang w:val="en-US"/>
        </w:rPr>
        <w:t xml:space="preserve"> yang dapat diperoleh dari investasi saham, yaitu:</w:t>
      </w:r>
    </w:p>
    <w:p w14:paraId="7338427C" w14:textId="5CA7D616" w:rsidR="0042545F" w:rsidRPr="00FF6BD7" w:rsidRDefault="00875FBA" w:rsidP="00D74443">
      <w:pPr>
        <w:pStyle w:val="ListParagraph"/>
        <w:numPr>
          <w:ilvl w:val="0"/>
          <w:numId w:val="18"/>
        </w:numPr>
        <w:tabs>
          <w:tab w:val="left" w:pos="426"/>
        </w:tabs>
        <w:spacing w:before="32" w:line="276" w:lineRule="auto"/>
        <w:ind w:left="284" w:right="76" w:hanging="284"/>
        <w:jc w:val="both"/>
        <w:rPr>
          <w:rFonts w:ascii="Times New Roman" w:hAnsi="Times New Roman" w:cs="Times New Roman"/>
          <w:bCs/>
          <w:lang w:val="en-US"/>
        </w:rPr>
      </w:pPr>
      <w:r w:rsidRPr="00FF6BD7">
        <w:rPr>
          <w:rFonts w:ascii="Times New Roman" w:hAnsi="Times New Roman" w:cs="Times New Roman"/>
          <w:bCs/>
          <w:lang w:val="en-US"/>
        </w:rPr>
        <w:t>Dividen</w:t>
      </w:r>
    </w:p>
    <w:p w14:paraId="2BEACA69" w14:textId="26FA4FC6" w:rsidR="00875FBA" w:rsidRPr="00FF6BD7" w:rsidRDefault="000C433A" w:rsidP="00D74443">
      <w:pPr>
        <w:pStyle w:val="ListParagraph"/>
        <w:tabs>
          <w:tab w:val="left" w:pos="426"/>
        </w:tabs>
        <w:spacing w:before="32" w:line="276" w:lineRule="auto"/>
        <w:ind w:left="284" w:right="76"/>
        <w:jc w:val="both"/>
        <w:rPr>
          <w:rFonts w:ascii="Times New Roman" w:hAnsi="Times New Roman" w:cs="Times New Roman"/>
          <w:bCs/>
          <w:lang w:val="en-US"/>
        </w:rPr>
      </w:pPr>
      <w:r w:rsidRPr="00FF6BD7">
        <w:rPr>
          <w:rFonts w:ascii="Times New Roman" w:hAnsi="Times New Roman" w:cs="Times New Roman"/>
          <w:bCs/>
          <w:lang w:val="en-US"/>
        </w:rPr>
        <w:tab/>
      </w:r>
      <w:r w:rsidR="00875FBA" w:rsidRPr="00FF6BD7">
        <w:rPr>
          <w:rFonts w:ascii="Times New Roman" w:hAnsi="Times New Roman" w:cs="Times New Roman"/>
          <w:bCs/>
          <w:lang w:val="en-US"/>
        </w:rPr>
        <w:t>D</w:t>
      </w:r>
      <w:r w:rsidR="002528E3" w:rsidRPr="00FF6BD7">
        <w:rPr>
          <w:rFonts w:ascii="Times New Roman" w:hAnsi="Times New Roman" w:cs="Times New Roman"/>
          <w:bCs/>
          <w:lang w:val="en-US"/>
        </w:rPr>
        <w:t>i</w:t>
      </w:r>
      <w:r w:rsidR="00875FBA" w:rsidRPr="00FF6BD7">
        <w:rPr>
          <w:rFonts w:ascii="Times New Roman" w:hAnsi="Times New Roman" w:cs="Times New Roman"/>
          <w:bCs/>
          <w:lang w:val="en-US"/>
        </w:rPr>
        <w:t xml:space="preserve">viden adalah jumlah pendapatan bersih perusahaan setelah dikurangi pajak dan laba ditahan yang ditentukan oleh Rapat Umum Pemegang Saham (RUPS). Investor </w:t>
      </w:r>
      <w:r w:rsidR="00875FBA" w:rsidRPr="00FF6BD7">
        <w:rPr>
          <w:rFonts w:ascii="Times New Roman" w:hAnsi="Times New Roman" w:cs="Times New Roman"/>
          <w:bCs/>
          <w:lang w:val="en-US"/>
        </w:rPr>
        <w:lastRenderedPageBreak/>
        <w:t xml:space="preserve">dapat menerima dividen dalam bentuk dividen </w:t>
      </w:r>
      <w:r w:rsidR="00674A43" w:rsidRPr="00FF6BD7">
        <w:rPr>
          <w:rFonts w:ascii="Times New Roman" w:hAnsi="Times New Roman" w:cs="Times New Roman"/>
          <w:bCs/>
          <w:lang w:val="en-US"/>
        </w:rPr>
        <w:t>tunai</w:t>
      </w:r>
      <w:r w:rsidR="00875FBA" w:rsidRPr="00FF6BD7">
        <w:rPr>
          <w:rFonts w:ascii="Times New Roman" w:hAnsi="Times New Roman" w:cs="Times New Roman"/>
          <w:bCs/>
          <w:lang w:val="en-US"/>
        </w:rPr>
        <w:t xml:space="preserve"> (</w:t>
      </w:r>
      <w:r w:rsidR="00875FBA" w:rsidRPr="00FF6BD7">
        <w:rPr>
          <w:rFonts w:ascii="Times New Roman" w:hAnsi="Times New Roman" w:cs="Times New Roman"/>
          <w:bCs/>
          <w:i/>
          <w:iCs/>
          <w:lang w:val="en-US"/>
        </w:rPr>
        <w:t>cash dividend</w:t>
      </w:r>
      <w:r w:rsidR="00875FBA" w:rsidRPr="00FF6BD7">
        <w:rPr>
          <w:rFonts w:ascii="Times New Roman" w:hAnsi="Times New Roman" w:cs="Times New Roman"/>
          <w:bCs/>
          <w:lang w:val="en-US"/>
        </w:rPr>
        <w:t>) dan dividen saham (</w:t>
      </w:r>
      <w:r w:rsidR="00875FBA" w:rsidRPr="00FF6BD7">
        <w:rPr>
          <w:rFonts w:ascii="Times New Roman" w:hAnsi="Times New Roman" w:cs="Times New Roman"/>
          <w:bCs/>
          <w:i/>
          <w:iCs/>
          <w:lang w:val="en-US"/>
        </w:rPr>
        <w:t>stock dividend</w:t>
      </w:r>
      <w:r w:rsidR="00875FBA" w:rsidRPr="00FF6BD7">
        <w:rPr>
          <w:rFonts w:ascii="Times New Roman" w:hAnsi="Times New Roman" w:cs="Times New Roman"/>
          <w:bCs/>
          <w:lang w:val="en-US"/>
        </w:rPr>
        <w:t>).</w:t>
      </w:r>
    </w:p>
    <w:p w14:paraId="07B509C9" w14:textId="322AD725" w:rsidR="00875FBA" w:rsidRPr="00FF6BD7" w:rsidRDefault="00875FBA" w:rsidP="00D74443">
      <w:pPr>
        <w:pStyle w:val="ListParagraph"/>
        <w:numPr>
          <w:ilvl w:val="0"/>
          <w:numId w:val="18"/>
        </w:numPr>
        <w:tabs>
          <w:tab w:val="left" w:pos="426"/>
        </w:tabs>
        <w:spacing w:before="32" w:line="276" w:lineRule="auto"/>
        <w:ind w:left="284" w:right="76" w:hanging="284"/>
        <w:jc w:val="both"/>
        <w:rPr>
          <w:rFonts w:ascii="Times New Roman" w:hAnsi="Times New Roman" w:cs="Times New Roman"/>
          <w:bCs/>
          <w:lang w:val="en-US"/>
        </w:rPr>
      </w:pPr>
      <w:r w:rsidRPr="00FF6BD7">
        <w:rPr>
          <w:rFonts w:ascii="Times New Roman" w:hAnsi="Times New Roman" w:cs="Times New Roman"/>
          <w:bCs/>
          <w:i/>
          <w:iCs/>
          <w:lang w:val="en-US"/>
        </w:rPr>
        <w:t>Capital Gain</w:t>
      </w:r>
    </w:p>
    <w:p w14:paraId="19F6D243" w14:textId="5CC3E1A0" w:rsidR="00875FBA" w:rsidRPr="00FF6BD7" w:rsidRDefault="000C433A" w:rsidP="000C433A">
      <w:pPr>
        <w:pStyle w:val="ListParagraph"/>
        <w:tabs>
          <w:tab w:val="left" w:pos="426"/>
        </w:tabs>
        <w:spacing w:before="32" w:line="276" w:lineRule="auto"/>
        <w:ind w:left="284" w:right="76"/>
        <w:jc w:val="both"/>
        <w:rPr>
          <w:rFonts w:ascii="Times New Roman" w:hAnsi="Times New Roman" w:cs="Times New Roman"/>
          <w:bCs/>
          <w:lang w:val="en-US"/>
        </w:rPr>
      </w:pPr>
      <w:r w:rsidRPr="00FF6BD7">
        <w:rPr>
          <w:rFonts w:ascii="Times New Roman" w:hAnsi="Times New Roman" w:cs="Times New Roman"/>
          <w:bCs/>
          <w:i/>
          <w:iCs/>
          <w:lang w:val="en-US"/>
        </w:rPr>
        <w:tab/>
      </w:r>
      <w:r w:rsidR="00875FBA" w:rsidRPr="00FF6BD7">
        <w:rPr>
          <w:rFonts w:ascii="Times New Roman" w:hAnsi="Times New Roman" w:cs="Times New Roman"/>
          <w:bCs/>
          <w:i/>
          <w:iCs/>
          <w:lang w:val="en-US"/>
        </w:rPr>
        <w:t>Capital Gain</w:t>
      </w:r>
      <w:r w:rsidR="00875FBA" w:rsidRPr="00FF6BD7">
        <w:rPr>
          <w:rFonts w:ascii="Times New Roman" w:hAnsi="Times New Roman" w:cs="Times New Roman"/>
          <w:bCs/>
          <w:lang w:val="en-US"/>
        </w:rPr>
        <w:t xml:space="preserve"> adalah selisih antara harga saham pada periode saat ini dengan harga saham pada periode sebelumnya. Dapat juga dikatakan bahwa </w:t>
      </w:r>
      <w:r w:rsidR="00875FBA" w:rsidRPr="00FF6BD7">
        <w:rPr>
          <w:rFonts w:ascii="Times New Roman" w:hAnsi="Times New Roman" w:cs="Times New Roman"/>
          <w:bCs/>
          <w:i/>
          <w:iCs/>
          <w:lang w:val="en-US"/>
        </w:rPr>
        <w:t>Capital Gain</w:t>
      </w:r>
      <w:r w:rsidR="00875FBA" w:rsidRPr="00FF6BD7">
        <w:rPr>
          <w:rFonts w:ascii="Times New Roman" w:hAnsi="Times New Roman" w:cs="Times New Roman"/>
          <w:bCs/>
          <w:lang w:val="en-US"/>
        </w:rPr>
        <w:t xml:space="preserve"> adalah selisih antara harga jual saham dengan harga beli saham yang diperoleh investor.</w:t>
      </w:r>
    </w:p>
    <w:p w14:paraId="0FFFE72B" w14:textId="77777777" w:rsidR="00D0701B" w:rsidRPr="00FF6BD7" w:rsidRDefault="00D0701B" w:rsidP="00875FBA">
      <w:pPr>
        <w:pStyle w:val="ListParagraph"/>
        <w:tabs>
          <w:tab w:val="left" w:pos="426"/>
        </w:tabs>
        <w:spacing w:before="32" w:line="276" w:lineRule="auto"/>
        <w:ind w:right="76"/>
        <w:jc w:val="both"/>
        <w:rPr>
          <w:rFonts w:ascii="Times New Roman" w:hAnsi="Times New Roman" w:cs="Times New Roman"/>
          <w:bCs/>
          <w:lang w:val="en-US"/>
        </w:rPr>
      </w:pPr>
    </w:p>
    <w:p w14:paraId="1499AC24" w14:textId="435CABDA" w:rsidR="0080315B" w:rsidRPr="00FF6BD7" w:rsidRDefault="0080315B" w:rsidP="001B4C22">
      <w:pPr>
        <w:pStyle w:val="ListParagraph"/>
        <w:numPr>
          <w:ilvl w:val="0"/>
          <w:numId w:val="16"/>
        </w:numPr>
        <w:tabs>
          <w:tab w:val="left" w:pos="0"/>
        </w:tabs>
        <w:spacing w:before="32" w:after="0" w:line="276" w:lineRule="auto"/>
        <w:ind w:left="426" w:right="76" w:hanging="426"/>
        <w:jc w:val="both"/>
        <w:rPr>
          <w:rFonts w:ascii="Times New Roman" w:hAnsi="Times New Roman" w:cs="Times New Roman"/>
          <w:b/>
        </w:rPr>
      </w:pPr>
      <w:r w:rsidRPr="00FF6BD7">
        <w:rPr>
          <w:rFonts w:ascii="Times New Roman" w:hAnsi="Times New Roman" w:cs="Times New Roman"/>
          <w:b/>
        </w:rPr>
        <w:t>ME</w:t>
      </w:r>
      <w:r w:rsidRPr="00FF6BD7">
        <w:rPr>
          <w:rFonts w:ascii="Times New Roman" w:hAnsi="Times New Roman" w:cs="Times New Roman"/>
          <w:b/>
          <w:spacing w:val="-1"/>
        </w:rPr>
        <w:t>T</w:t>
      </w:r>
      <w:r w:rsidRPr="00FF6BD7">
        <w:rPr>
          <w:rFonts w:ascii="Times New Roman" w:hAnsi="Times New Roman" w:cs="Times New Roman"/>
          <w:b/>
          <w:spacing w:val="1"/>
        </w:rPr>
        <w:t>O</w:t>
      </w:r>
      <w:r w:rsidRPr="00FF6BD7">
        <w:rPr>
          <w:rFonts w:ascii="Times New Roman" w:hAnsi="Times New Roman" w:cs="Times New Roman"/>
          <w:b/>
          <w:spacing w:val="-1"/>
        </w:rPr>
        <w:t>D</w:t>
      </w:r>
      <w:r w:rsidRPr="00FF6BD7">
        <w:rPr>
          <w:rFonts w:ascii="Times New Roman" w:hAnsi="Times New Roman" w:cs="Times New Roman"/>
          <w:b/>
        </w:rPr>
        <w:t>E</w:t>
      </w:r>
      <w:r w:rsidRPr="00FF6BD7">
        <w:rPr>
          <w:rFonts w:ascii="Times New Roman" w:hAnsi="Times New Roman" w:cs="Times New Roman"/>
          <w:b/>
          <w:spacing w:val="-3"/>
        </w:rPr>
        <w:t xml:space="preserve"> </w:t>
      </w:r>
      <w:r w:rsidRPr="00FF6BD7">
        <w:rPr>
          <w:rFonts w:ascii="Times New Roman" w:hAnsi="Times New Roman" w:cs="Times New Roman"/>
          <w:b/>
          <w:spacing w:val="2"/>
        </w:rPr>
        <w:t>P</w:t>
      </w:r>
      <w:r w:rsidRPr="00FF6BD7">
        <w:rPr>
          <w:rFonts w:ascii="Times New Roman" w:hAnsi="Times New Roman" w:cs="Times New Roman"/>
          <w:b/>
          <w:spacing w:val="-1"/>
        </w:rPr>
        <w:t>ENEL</w:t>
      </w:r>
      <w:r w:rsidRPr="00FF6BD7">
        <w:rPr>
          <w:rFonts w:ascii="Times New Roman" w:hAnsi="Times New Roman" w:cs="Times New Roman"/>
          <w:b/>
        </w:rPr>
        <w:t>ITI</w:t>
      </w:r>
      <w:r w:rsidRPr="00FF6BD7">
        <w:rPr>
          <w:rFonts w:ascii="Times New Roman" w:hAnsi="Times New Roman" w:cs="Times New Roman"/>
          <w:b/>
          <w:spacing w:val="-1"/>
        </w:rPr>
        <w:t>A</w:t>
      </w:r>
      <w:r w:rsidRPr="00FF6BD7">
        <w:rPr>
          <w:rFonts w:ascii="Times New Roman" w:hAnsi="Times New Roman" w:cs="Times New Roman"/>
          <w:b/>
        </w:rPr>
        <w:t xml:space="preserve">N </w:t>
      </w:r>
    </w:p>
    <w:p w14:paraId="0EE1FB1B" w14:textId="4BE11313" w:rsidR="00C259F7" w:rsidRPr="00FF6BD7" w:rsidRDefault="00A95A16" w:rsidP="000C433A">
      <w:pPr>
        <w:spacing w:before="32" w:line="276" w:lineRule="auto"/>
        <w:ind w:right="76" w:firstLine="426"/>
        <w:jc w:val="both"/>
        <w:rPr>
          <w:sz w:val="22"/>
          <w:szCs w:val="22"/>
        </w:rPr>
      </w:pPr>
      <w:r w:rsidRPr="00FF6BD7">
        <w:rPr>
          <w:sz w:val="22"/>
          <w:szCs w:val="22"/>
        </w:rPr>
        <w:t xml:space="preserve">Metode yang digunakan pada penelitian ini adalah metode deskriptif dengan pendekatan kuantitatif. </w:t>
      </w:r>
      <w:r w:rsidR="004079B1" w:rsidRPr="00FF6BD7">
        <w:rPr>
          <w:sz w:val="22"/>
          <w:szCs w:val="22"/>
        </w:rPr>
        <w:t>Tahapan penelitian yang dilakukan meliputi identifikasi masalah, pengumpulan data,</w:t>
      </w:r>
      <w:r w:rsidR="00F535C4" w:rsidRPr="00FF6BD7">
        <w:rPr>
          <w:sz w:val="22"/>
          <w:szCs w:val="22"/>
        </w:rPr>
        <w:t xml:space="preserve"> persiapan data, eksplorasi dan visualisasi data, dan analisis hasil dan rekomendasi </w:t>
      </w:r>
      <w:r w:rsidR="00425091" w:rsidRPr="00FF6BD7">
        <w:rPr>
          <w:sz w:val="22"/>
          <w:szCs w:val="22"/>
        </w:rPr>
        <w:t xml:space="preserve">seperti pada gambar 2. </w:t>
      </w:r>
    </w:p>
    <w:p w14:paraId="3A3EE471" w14:textId="4B6E8130" w:rsidR="00F535C4" w:rsidRPr="00FF6BD7" w:rsidRDefault="00F535C4" w:rsidP="00F535C4">
      <w:pPr>
        <w:spacing w:before="32" w:line="276" w:lineRule="auto"/>
        <w:ind w:right="76"/>
        <w:jc w:val="center"/>
        <w:rPr>
          <w:sz w:val="22"/>
          <w:szCs w:val="22"/>
        </w:rPr>
      </w:pPr>
      <w:r w:rsidRPr="00FF6BD7">
        <w:rPr>
          <w:noProof/>
          <w:sz w:val="22"/>
          <w:szCs w:val="22"/>
        </w:rPr>
        <w:drawing>
          <wp:inline distT="0" distB="0" distL="0" distR="0" wp14:anchorId="695EEFD8" wp14:editId="747961DF">
            <wp:extent cx="1081976" cy="2558005"/>
            <wp:effectExtent l="0" t="0" r="4445" b="0"/>
            <wp:docPr id="44195265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52659" name="Gambar 441952659"/>
                    <pic:cNvPicPr/>
                  </pic:nvPicPr>
                  <pic:blipFill>
                    <a:blip r:embed="rId12">
                      <a:extLst>
                        <a:ext uri="{28A0092B-C50C-407E-A947-70E740481C1C}">
                          <a14:useLocalDpi xmlns:a14="http://schemas.microsoft.com/office/drawing/2010/main" val="0"/>
                        </a:ext>
                      </a:extLst>
                    </a:blip>
                    <a:stretch>
                      <a:fillRect/>
                    </a:stretch>
                  </pic:blipFill>
                  <pic:spPr>
                    <a:xfrm>
                      <a:off x="0" y="0"/>
                      <a:ext cx="1089674" cy="2576205"/>
                    </a:xfrm>
                    <a:prstGeom prst="rect">
                      <a:avLst/>
                    </a:prstGeom>
                  </pic:spPr>
                </pic:pic>
              </a:graphicData>
            </a:graphic>
          </wp:inline>
        </w:drawing>
      </w:r>
    </w:p>
    <w:p w14:paraId="2DFBA324" w14:textId="29AE6C2E" w:rsidR="00C259F7" w:rsidRPr="00FF6BD7" w:rsidRDefault="00C259F7" w:rsidP="00C259F7">
      <w:pPr>
        <w:spacing w:before="12" w:line="276" w:lineRule="auto"/>
        <w:ind w:right="59"/>
        <w:jc w:val="center"/>
        <w:rPr>
          <w:sz w:val="22"/>
          <w:szCs w:val="22"/>
        </w:rPr>
      </w:pPr>
      <w:r w:rsidRPr="00FF6BD7">
        <w:rPr>
          <w:sz w:val="22"/>
          <w:szCs w:val="22"/>
        </w:rPr>
        <w:t>Gambar 2. Tahapan Penelitian</w:t>
      </w:r>
    </w:p>
    <w:p w14:paraId="1D4E82E9" w14:textId="264DA1E6" w:rsidR="000F3340" w:rsidRPr="00FF6BD7" w:rsidRDefault="00EF16FB" w:rsidP="000C433A">
      <w:pPr>
        <w:spacing w:before="12" w:line="276" w:lineRule="auto"/>
        <w:ind w:right="59" w:firstLine="426"/>
        <w:jc w:val="both"/>
        <w:rPr>
          <w:sz w:val="22"/>
          <w:szCs w:val="22"/>
        </w:rPr>
      </w:pPr>
      <w:r w:rsidRPr="00FF6BD7">
        <w:rPr>
          <w:sz w:val="22"/>
          <w:szCs w:val="22"/>
        </w:rPr>
        <w:t>Pada tahapan i</w:t>
      </w:r>
      <w:r w:rsidR="000F2C9E" w:rsidRPr="00FF6BD7">
        <w:rPr>
          <w:sz w:val="22"/>
          <w:szCs w:val="22"/>
        </w:rPr>
        <w:t xml:space="preserve">dentifikasi masalah </w:t>
      </w:r>
      <w:r w:rsidRPr="00FF6BD7">
        <w:rPr>
          <w:sz w:val="22"/>
          <w:szCs w:val="22"/>
        </w:rPr>
        <w:t>dilakukan untuk mengumpulkan</w:t>
      </w:r>
      <w:r w:rsidR="00337A3E" w:rsidRPr="00FF6BD7">
        <w:rPr>
          <w:sz w:val="22"/>
          <w:szCs w:val="22"/>
        </w:rPr>
        <w:t xml:space="preserve"> dan mengide</w:t>
      </w:r>
      <w:r w:rsidR="00E079C2" w:rsidRPr="00FF6BD7">
        <w:rPr>
          <w:sz w:val="22"/>
          <w:szCs w:val="22"/>
        </w:rPr>
        <w:t>ntifikasi masalah yang ditemukan</w:t>
      </w:r>
      <w:r w:rsidR="00A95A16" w:rsidRPr="00FF6BD7">
        <w:rPr>
          <w:sz w:val="22"/>
          <w:szCs w:val="22"/>
        </w:rPr>
        <w:t xml:space="preserve">. Pada tahapan pengumpulan data dilakukan pengumpulan data sekunder yang diperoleh dari catatan laporan dividen perbankan yang tergabung dalam Bursa Efek Indonesia. Populasi yang digunakan </w:t>
      </w:r>
      <w:r w:rsidR="000F3340" w:rsidRPr="00FF6BD7">
        <w:rPr>
          <w:sz w:val="22"/>
          <w:szCs w:val="22"/>
        </w:rPr>
        <w:t xml:space="preserve">dalam penelitian ini adalah perusahaan bank yang terdaftar di Bursa Efek Indonesia. Sampel dalam penelitian ini dipilih dengan metode </w:t>
      </w:r>
      <w:r w:rsidR="000F3340" w:rsidRPr="00FF6BD7">
        <w:rPr>
          <w:i/>
          <w:iCs/>
          <w:sz w:val="22"/>
          <w:szCs w:val="22"/>
        </w:rPr>
        <w:t>purposive sampling</w:t>
      </w:r>
      <w:r w:rsidR="000F3340" w:rsidRPr="00FF6BD7">
        <w:rPr>
          <w:sz w:val="22"/>
          <w:szCs w:val="22"/>
        </w:rPr>
        <w:t xml:space="preserve">. Kriteria sampel yang diambil dalam penelitian ini yaitu perusahaan bank yang terdaftar dalam BEI dan masuk dalam peringkat 10 teratas </w:t>
      </w:r>
      <w:r w:rsidR="000F3340" w:rsidRPr="00FF6BD7">
        <w:rPr>
          <w:sz w:val="22"/>
          <w:szCs w:val="22"/>
        </w:rPr>
        <w:lastRenderedPageBreak/>
        <w:t>berdasarkan besarnya nilai kapitalisasi pasar yang tercatat dalam platform IDN Financials. Data yang digunakan pada penelitian ini yaitu data catat</w:t>
      </w:r>
      <w:r w:rsidR="007E78F2" w:rsidRPr="00FF6BD7">
        <w:rPr>
          <w:sz w:val="22"/>
          <w:szCs w:val="22"/>
        </w:rPr>
        <w:t>a</w:t>
      </w:r>
      <w:r w:rsidR="000F3340" w:rsidRPr="00FF6BD7">
        <w:rPr>
          <w:sz w:val="22"/>
          <w:szCs w:val="22"/>
        </w:rPr>
        <w:t>n dividen dari masing-masing bank tersebut dalam kurun waktu 10 tahun yaitu periode 2013-2023.</w:t>
      </w:r>
      <w:r w:rsidR="00881977" w:rsidRPr="00FF6BD7">
        <w:rPr>
          <w:sz w:val="22"/>
          <w:szCs w:val="22"/>
        </w:rPr>
        <w:t xml:space="preserve"> </w:t>
      </w:r>
      <w:r w:rsidR="000F3340" w:rsidRPr="00FF6BD7">
        <w:rPr>
          <w:sz w:val="22"/>
          <w:szCs w:val="22"/>
        </w:rPr>
        <w:t xml:space="preserve">Selanjutnya pada tahap persiapan data dilakukan dengan menggunakan </w:t>
      </w:r>
      <w:r w:rsidR="000F3340" w:rsidRPr="00FF6BD7">
        <w:rPr>
          <w:i/>
          <w:iCs/>
          <w:sz w:val="22"/>
          <w:szCs w:val="22"/>
        </w:rPr>
        <w:t>tools python</w:t>
      </w:r>
      <w:r w:rsidR="000F3340" w:rsidRPr="00FF6BD7">
        <w:rPr>
          <w:sz w:val="22"/>
          <w:szCs w:val="22"/>
        </w:rPr>
        <w:t xml:space="preserve"> pada </w:t>
      </w:r>
      <w:r w:rsidR="000F3340" w:rsidRPr="00FF6BD7">
        <w:rPr>
          <w:i/>
          <w:iCs/>
          <w:sz w:val="22"/>
          <w:szCs w:val="22"/>
        </w:rPr>
        <w:t>Google Colaboratory</w:t>
      </w:r>
      <w:r w:rsidR="00C82874" w:rsidRPr="00FF6BD7">
        <w:rPr>
          <w:sz w:val="22"/>
          <w:szCs w:val="22"/>
        </w:rPr>
        <w:t xml:space="preserve">. </w:t>
      </w:r>
      <w:r w:rsidR="000F3340" w:rsidRPr="00FF6BD7">
        <w:rPr>
          <w:sz w:val="22"/>
          <w:szCs w:val="22"/>
        </w:rPr>
        <w:t>Tahap persiapan data dilakukan untuk membersihkan data, dan menyesuaikan format data</w:t>
      </w:r>
      <w:r w:rsidR="00C82874" w:rsidRPr="00FF6BD7">
        <w:rPr>
          <w:sz w:val="22"/>
          <w:szCs w:val="22"/>
        </w:rPr>
        <w:t xml:space="preserve"> sehingga menghasilkan analisis yang tepat. Tahap eksplorasi dan visualisasi data dilakukan untuk mengetahui persebaran data, dilakukan dengan menggunakan fungsi </w:t>
      </w:r>
      <w:r w:rsidR="00C82874" w:rsidRPr="00FF6BD7">
        <w:rPr>
          <w:i/>
          <w:iCs/>
          <w:sz w:val="22"/>
          <w:szCs w:val="22"/>
        </w:rPr>
        <w:t>agregate</w:t>
      </w:r>
      <w:r w:rsidR="00C82874" w:rsidRPr="00FF6BD7">
        <w:rPr>
          <w:sz w:val="22"/>
          <w:szCs w:val="22"/>
        </w:rPr>
        <w:t xml:space="preserve"> pandas dan visualisasi pada </w:t>
      </w:r>
      <w:r w:rsidR="00C82874" w:rsidRPr="00FF6BD7">
        <w:rPr>
          <w:i/>
          <w:iCs/>
          <w:sz w:val="22"/>
          <w:szCs w:val="22"/>
        </w:rPr>
        <w:t>Tableau Desktop</w:t>
      </w:r>
      <w:r w:rsidR="00C82874" w:rsidRPr="00FF6BD7">
        <w:rPr>
          <w:sz w:val="22"/>
          <w:szCs w:val="22"/>
        </w:rPr>
        <w:t>. Tahap akhir dari penelitian ini adalah melakukan analisis hasil eksplorasi dan visualisasi untuk kemudian menghasilkan rekomendasi.</w:t>
      </w:r>
    </w:p>
    <w:p w14:paraId="21FF9DF8" w14:textId="77777777" w:rsidR="00D0701B" w:rsidRPr="00FF6BD7" w:rsidRDefault="00D0701B" w:rsidP="00E079C2">
      <w:pPr>
        <w:spacing w:before="12" w:line="276" w:lineRule="auto"/>
        <w:ind w:right="59"/>
        <w:jc w:val="both"/>
        <w:rPr>
          <w:sz w:val="22"/>
          <w:szCs w:val="22"/>
        </w:rPr>
      </w:pPr>
    </w:p>
    <w:p w14:paraId="1C1F255B" w14:textId="519C99FF" w:rsidR="00562451" w:rsidRPr="00FF6BD7" w:rsidRDefault="0080315B" w:rsidP="001B4C22">
      <w:pPr>
        <w:pStyle w:val="ListParagraph"/>
        <w:numPr>
          <w:ilvl w:val="0"/>
          <w:numId w:val="16"/>
        </w:numPr>
        <w:spacing w:before="12" w:line="276" w:lineRule="auto"/>
        <w:ind w:left="426" w:right="59" w:hanging="426"/>
        <w:jc w:val="both"/>
        <w:rPr>
          <w:rFonts w:ascii="Times New Roman" w:hAnsi="Times New Roman" w:cs="Times New Roman"/>
          <w:b/>
          <w:lang w:val="en-US"/>
        </w:rPr>
      </w:pPr>
      <w:r w:rsidRPr="00FF6BD7">
        <w:rPr>
          <w:rFonts w:ascii="Times New Roman" w:hAnsi="Times New Roman" w:cs="Times New Roman"/>
          <w:b/>
          <w:lang w:val="en-US"/>
        </w:rPr>
        <w:t>HASIL DAN PEMBAHASAN</w:t>
      </w:r>
    </w:p>
    <w:p w14:paraId="3710FC93" w14:textId="2765A0A2" w:rsidR="00881977" w:rsidRPr="00FF6BD7" w:rsidRDefault="00881977"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rPr>
        <w:t xml:space="preserve">Berdasarkan pada kriteria data </w:t>
      </w:r>
      <w:r w:rsidRPr="00FF6BD7">
        <w:rPr>
          <w:rFonts w:ascii="Times New Roman" w:hAnsi="Times New Roman" w:cs="Times New Roman"/>
          <w:lang w:val="en-US"/>
        </w:rPr>
        <w:t>yang ditentukan</w:t>
      </w:r>
      <w:r w:rsidRPr="00FF6BD7">
        <w:rPr>
          <w:rFonts w:ascii="Times New Roman" w:hAnsi="Times New Roman" w:cs="Times New Roman"/>
        </w:rPr>
        <w:t xml:space="preserve">, diperoleh </w:t>
      </w:r>
      <w:r w:rsidR="00F4194F" w:rsidRPr="00FF6BD7">
        <w:rPr>
          <w:rFonts w:ascii="Times New Roman" w:hAnsi="Times New Roman" w:cs="Times New Roman"/>
          <w:lang w:val="en-US"/>
        </w:rPr>
        <w:t>7</w:t>
      </w:r>
      <w:r w:rsidRPr="00FF6BD7">
        <w:rPr>
          <w:rFonts w:ascii="Times New Roman" w:hAnsi="Times New Roman" w:cs="Times New Roman"/>
        </w:rPr>
        <w:t xml:space="preserve"> bank yang menjadi sampel</w:t>
      </w:r>
      <w:r w:rsidRPr="00FF6BD7">
        <w:rPr>
          <w:rFonts w:ascii="Times New Roman" w:hAnsi="Times New Roman" w:cs="Times New Roman"/>
          <w:lang w:val="en-US"/>
        </w:rPr>
        <w:t xml:space="preserve"> pada penelitian ini</w:t>
      </w:r>
      <w:r w:rsidRPr="00FF6BD7">
        <w:rPr>
          <w:rFonts w:ascii="Times New Roman" w:hAnsi="Times New Roman" w:cs="Times New Roman"/>
        </w:rPr>
        <w:t xml:space="preserve">, yaitu PT. Bank Central Asia Tbk, PT. Bank Rakyat Indonesia (Persero) Tbk, PT. Bank Mandiri (Persero) Tbk, PT. Bank Negara Indonesia (Persero) Tbk, PT. Bank Syariah Indonesia Tbk, PT. Bank Mega Tbk, </w:t>
      </w:r>
      <w:r w:rsidR="00F4194F" w:rsidRPr="00FF6BD7">
        <w:rPr>
          <w:rFonts w:ascii="Times New Roman" w:hAnsi="Times New Roman" w:cs="Times New Roman"/>
          <w:lang w:val="en-US"/>
        </w:rPr>
        <w:t xml:space="preserve">dan </w:t>
      </w:r>
      <w:r w:rsidRPr="00FF6BD7">
        <w:rPr>
          <w:rFonts w:ascii="Times New Roman" w:hAnsi="Times New Roman" w:cs="Times New Roman"/>
        </w:rPr>
        <w:t>PT Bank CIMB Niaga Tbk</w:t>
      </w:r>
      <w:r w:rsidR="00F4194F" w:rsidRPr="00FF6BD7">
        <w:rPr>
          <w:rFonts w:ascii="Times New Roman" w:hAnsi="Times New Roman" w:cs="Times New Roman"/>
          <w:lang w:val="en-US"/>
        </w:rPr>
        <w:t>.</w:t>
      </w:r>
    </w:p>
    <w:p w14:paraId="17B2CFB7" w14:textId="0BE5925B" w:rsidR="00BB486F" w:rsidRPr="00FF6BD7" w:rsidRDefault="00BB486F"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Pada</w:t>
      </w:r>
      <w:r w:rsidR="0047672B" w:rsidRPr="00FF6BD7">
        <w:rPr>
          <w:rFonts w:ascii="Times New Roman" w:hAnsi="Times New Roman" w:cs="Times New Roman"/>
          <w:lang w:val="en-US"/>
        </w:rPr>
        <w:t xml:space="preserve"> penelitian ini</w:t>
      </w:r>
      <w:r w:rsidRPr="00FF6BD7">
        <w:rPr>
          <w:rFonts w:ascii="Times New Roman" w:hAnsi="Times New Roman" w:cs="Times New Roman"/>
          <w:lang w:val="en-US"/>
        </w:rPr>
        <w:t xml:space="preserve"> dilakukan pemberian kode untuk masing-masing bank, kode yang dijadikan </w:t>
      </w:r>
      <w:r w:rsidR="009D75A0" w:rsidRPr="00FF6BD7">
        <w:rPr>
          <w:rFonts w:ascii="Times New Roman" w:hAnsi="Times New Roman" w:cs="Times New Roman"/>
          <w:lang w:val="en-US"/>
        </w:rPr>
        <w:t xml:space="preserve">sebagai inisialisasi bank </w:t>
      </w:r>
      <w:r w:rsidRPr="00FF6BD7">
        <w:rPr>
          <w:rFonts w:ascii="Times New Roman" w:hAnsi="Times New Roman" w:cs="Times New Roman"/>
          <w:lang w:val="en-US"/>
        </w:rPr>
        <w:t xml:space="preserve">dalam penelitian ini </w:t>
      </w:r>
      <w:r w:rsidR="009D75A0" w:rsidRPr="00FF6BD7">
        <w:rPr>
          <w:rFonts w:ascii="Times New Roman" w:hAnsi="Times New Roman" w:cs="Times New Roman"/>
          <w:lang w:val="en-US"/>
        </w:rPr>
        <w:t>berdasarkan pada kode bank yang terdaftar pada Bursa Efek Indonesia. Berikut ini daftar dari kode dan nama bank yang digunakan</w:t>
      </w:r>
      <w:r w:rsidR="00FA4A29" w:rsidRPr="00FF6BD7">
        <w:rPr>
          <w:rFonts w:ascii="Times New Roman" w:hAnsi="Times New Roman" w:cs="Times New Roman"/>
          <w:lang w:val="en-US"/>
        </w:rPr>
        <w:t xml:space="preserve"> terdapat pada Tabel 1.</w:t>
      </w:r>
    </w:p>
    <w:p w14:paraId="6F305AA1" w14:textId="77777777" w:rsidR="00D0701B" w:rsidRPr="00FF6BD7" w:rsidRDefault="00D0701B" w:rsidP="00881977">
      <w:pPr>
        <w:pStyle w:val="ListParagraph"/>
        <w:spacing w:before="12" w:line="276" w:lineRule="auto"/>
        <w:ind w:left="0" w:right="59"/>
        <w:jc w:val="both"/>
        <w:rPr>
          <w:rFonts w:ascii="Times New Roman" w:hAnsi="Times New Roman" w:cs="Times New Roman"/>
          <w:lang w:val="en-US"/>
        </w:rPr>
      </w:pPr>
    </w:p>
    <w:p w14:paraId="05603D39" w14:textId="4F5A6473" w:rsidR="00FA4A29" w:rsidRPr="00FF6BD7" w:rsidRDefault="00FA4A29" w:rsidP="00FA4A29">
      <w:pPr>
        <w:pStyle w:val="ListParagraph"/>
        <w:spacing w:before="12" w:line="276" w:lineRule="auto"/>
        <w:ind w:left="0" w:right="59"/>
        <w:jc w:val="center"/>
        <w:rPr>
          <w:rFonts w:ascii="Times New Roman" w:hAnsi="Times New Roman" w:cs="Times New Roman"/>
          <w:lang w:val="en-US"/>
        </w:rPr>
      </w:pPr>
      <w:r w:rsidRPr="00FF6BD7">
        <w:rPr>
          <w:rFonts w:ascii="Times New Roman" w:hAnsi="Times New Roman" w:cs="Times New Roman"/>
          <w:lang w:val="en-US"/>
        </w:rPr>
        <w:t>Tabel 1. Daftar Kode dan Nama Bank</w:t>
      </w:r>
    </w:p>
    <w:tbl>
      <w:tblPr>
        <w:tblStyle w:val="TableGrid"/>
        <w:tblW w:w="0" w:type="auto"/>
        <w:tblLook w:val="04A0" w:firstRow="1" w:lastRow="0" w:firstColumn="1" w:lastColumn="0" w:noHBand="0" w:noVBand="1"/>
      </w:tblPr>
      <w:tblGrid>
        <w:gridCol w:w="1271"/>
        <w:gridCol w:w="2864"/>
      </w:tblGrid>
      <w:tr w:rsidR="009D75A0" w:rsidRPr="00FF6BD7" w14:paraId="705DAD1C" w14:textId="77777777" w:rsidTr="009D75A0">
        <w:tc>
          <w:tcPr>
            <w:tcW w:w="1271" w:type="dxa"/>
          </w:tcPr>
          <w:p w14:paraId="63F2E2BA" w14:textId="08358BFC" w:rsidR="009D75A0" w:rsidRPr="00FF6BD7" w:rsidRDefault="009D75A0" w:rsidP="00FA4A29">
            <w:pPr>
              <w:pStyle w:val="ListParagraph"/>
              <w:spacing w:before="12" w:line="276" w:lineRule="auto"/>
              <w:ind w:left="0" w:right="59"/>
              <w:jc w:val="center"/>
              <w:rPr>
                <w:rFonts w:ascii="Times New Roman" w:hAnsi="Times New Roman" w:cs="Times New Roman"/>
                <w:b/>
                <w:bCs/>
                <w:lang w:val="en-US"/>
              </w:rPr>
            </w:pPr>
            <w:r w:rsidRPr="00FF6BD7">
              <w:rPr>
                <w:rFonts w:ascii="Times New Roman" w:hAnsi="Times New Roman" w:cs="Times New Roman"/>
                <w:b/>
                <w:bCs/>
                <w:lang w:val="en-US"/>
              </w:rPr>
              <w:t>Kode Bank</w:t>
            </w:r>
          </w:p>
        </w:tc>
        <w:tc>
          <w:tcPr>
            <w:tcW w:w="2864" w:type="dxa"/>
          </w:tcPr>
          <w:p w14:paraId="77F0EA69" w14:textId="077245C9" w:rsidR="009D75A0" w:rsidRPr="00FF6BD7" w:rsidRDefault="009D75A0" w:rsidP="00FA4A29">
            <w:pPr>
              <w:pStyle w:val="ListParagraph"/>
              <w:spacing w:before="12" w:line="276" w:lineRule="auto"/>
              <w:ind w:left="0" w:right="59"/>
              <w:jc w:val="center"/>
              <w:rPr>
                <w:rFonts w:ascii="Times New Roman" w:hAnsi="Times New Roman" w:cs="Times New Roman"/>
                <w:b/>
                <w:bCs/>
                <w:lang w:val="en-US"/>
              </w:rPr>
            </w:pPr>
            <w:r w:rsidRPr="00FF6BD7">
              <w:rPr>
                <w:rFonts w:ascii="Times New Roman" w:hAnsi="Times New Roman" w:cs="Times New Roman"/>
                <w:b/>
                <w:bCs/>
                <w:lang w:val="en-US"/>
              </w:rPr>
              <w:t>Nama Bank</w:t>
            </w:r>
          </w:p>
        </w:tc>
      </w:tr>
      <w:tr w:rsidR="009D75A0" w:rsidRPr="00FF6BD7" w14:paraId="4BCBB677" w14:textId="77777777" w:rsidTr="009D75A0">
        <w:tc>
          <w:tcPr>
            <w:tcW w:w="1271" w:type="dxa"/>
          </w:tcPr>
          <w:p w14:paraId="54C70BD3" w14:textId="653433B2"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BBCA</w:t>
            </w:r>
          </w:p>
        </w:tc>
        <w:tc>
          <w:tcPr>
            <w:tcW w:w="2864" w:type="dxa"/>
          </w:tcPr>
          <w:p w14:paraId="731D72D8" w14:textId="5CA00868"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PT. Bank Central Asia Tbk.</w:t>
            </w:r>
          </w:p>
        </w:tc>
      </w:tr>
      <w:tr w:rsidR="009D75A0" w:rsidRPr="00FF6BD7" w14:paraId="5A4265B0" w14:textId="77777777" w:rsidTr="009D75A0">
        <w:tc>
          <w:tcPr>
            <w:tcW w:w="1271" w:type="dxa"/>
          </w:tcPr>
          <w:p w14:paraId="6123BF95" w14:textId="2E01BF5D"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BBRI</w:t>
            </w:r>
          </w:p>
        </w:tc>
        <w:tc>
          <w:tcPr>
            <w:tcW w:w="2864" w:type="dxa"/>
          </w:tcPr>
          <w:p w14:paraId="3379947E" w14:textId="175E1F16"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PT. Bank Rakyat Indonesia (Persero) Tbk.</w:t>
            </w:r>
          </w:p>
        </w:tc>
      </w:tr>
      <w:tr w:rsidR="009D75A0" w:rsidRPr="00FF6BD7" w14:paraId="226EFB83" w14:textId="77777777" w:rsidTr="009D75A0">
        <w:tc>
          <w:tcPr>
            <w:tcW w:w="1271" w:type="dxa"/>
          </w:tcPr>
          <w:p w14:paraId="4043E874" w14:textId="1E9A4C3A"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BMRI</w:t>
            </w:r>
          </w:p>
        </w:tc>
        <w:tc>
          <w:tcPr>
            <w:tcW w:w="2864" w:type="dxa"/>
          </w:tcPr>
          <w:p w14:paraId="083989FA" w14:textId="59583297"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rPr>
              <w:t>PT. Bank Mandiri (Persero) Tbk</w:t>
            </w:r>
            <w:r w:rsidRPr="00FF6BD7">
              <w:rPr>
                <w:rFonts w:ascii="Times New Roman" w:hAnsi="Times New Roman" w:cs="Times New Roman"/>
                <w:lang w:val="en-US"/>
              </w:rPr>
              <w:t>.</w:t>
            </w:r>
          </w:p>
        </w:tc>
      </w:tr>
      <w:tr w:rsidR="009D75A0" w:rsidRPr="00FF6BD7" w14:paraId="12865923" w14:textId="77777777" w:rsidTr="009D75A0">
        <w:tc>
          <w:tcPr>
            <w:tcW w:w="1271" w:type="dxa"/>
          </w:tcPr>
          <w:p w14:paraId="16B39334" w14:textId="6577EC7A"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lastRenderedPageBreak/>
              <w:t>BBNI</w:t>
            </w:r>
          </w:p>
        </w:tc>
        <w:tc>
          <w:tcPr>
            <w:tcW w:w="2864" w:type="dxa"/>
          </w:tcPr>
          <w:p w14:paraId="0222F7BA" w14:textId="711795E9"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rPr>
              <w:t>PT. Bank Negara Indonesia (Persero) Tbk</w:t>
            </w:r>
            <w:r w:rsidRPr="00FF6BD7">
              <w:rPr>
                <w:rFonts w:ascii="Times New Roman" w:hAnsi="Times New Roman" w:cs="Times New Roman"/>
                <w:lang w:val="en-US"/>
              </w:rPr>
              <w:t>.</w:t>
            </w:r>
          </w:p>
        </w:tc>
      </w:tr>
      <w:tr w:rsidR="009D75A0" w:rsidRPr="00FF6BD7" w14:paraId="6F3AF823" w14:textId="77777777" w:rsidTr="009D75A0">
        <w:tc>
          <w:tcPr>
            <w:tcW w:w="1271" w:type="dxa"/>
          </w:tcPr>
          <w:p w14:paraId="471660E5" w14:textId="6848C112"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BRIS</w:t>
            </w:r>
          </w:p>
        </w:tc>
        <w:tc>
          <w:tcPr>
            <w:tcW w:w="2864" w:type="dxa"/>
          </w:tcPr>
          <w:p w14:paraId="408FFF1E" w14:textId="497A3A33"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rPr>
              <w:t>PT. Bank Syariah Indonesia Tbk</w:t>
            </w:r>
            <w:r w:rsidRPr="00FF6BD7">
              <w:rPr>
                <w:rFonts w:ascii="Times New Roman" w:hAnsi="Times New Roman" w:cs="Times New Roman"/>
                <w:lang w:val="en-US"/>
              </w:rPr>
              <w:t>.</w:t>
            </w:r>
          </w:p>
        </w:tc>
      </w:tr>
      <w:tr w:rsidR="009D75A0" w:rsidRPr="00FF6BD7" w14:paraId="517D844D" w14:textId="77777777" w:rsidTr="009D75A0">
        <w:tc>
          <w:tcPr>
            <w:tcW w:w="1271" w:type="dxa"/>
          </w:tcPr>
          <w:p w14:paraId="444E598A" w14:textId="19571ADE"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MEGA</w:t>
            </w:r>
          </w:p>
        </w:tc>
        <w:tc>
          <w:tcPr>
            <w:tcW w:w="2864" w:type="dxa"/>
          </w:tcPr>
          <w:p w14:paraId="0CCDE2AB" w14:textId="47AFD709"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rPr>
              <w:t>PT. Bank Mega Tbk</w:t>
            </w:r>
            <w:r w:rsidRPr="00FF6BD7">
              <w:rPr>
                <w:rFonts w:ascii="Times New Roman" w:hAnsi="Times New Roman" w:cs="Times New Roman"/>
                <w:lang w:val="en-US"/>
              </w:rPr>
              <w:t>.</w:t>
            </w:r>
          </w:p>
        </w:tc>
      </w:tr>
      <w:tr w:rsidR="009D75A0" w:rsidRPr="00FF6BD7" w14:paraId="53ADD507" w14:textId="77777777" w:rsidTr="009D75A0">
        <w:tc>
          <w:tcPr>
            <w:tcW w:w="1271" w:type="dxa"/>
          </w:tcPr>
          <w:p w14:paraId="57495111" w14:textId="4B804565"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BNGA</w:t>
            </w:r>
          </w:p>
        </w:tc>
        <w:tc>
          <w:tcPr>
            <w:tcW w:w="2864" w:type="dxa"/>
          </w:tcPr>
          <w:p w14:paraId="32B7E3E0" w14:textId="3752B862" w:rsidR="009D75A0" w:rsidRPr="00FF6BD7" w:rsidRDefault="009D75A0"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rPr>
              <w:t>PT Bank CIMB Niaga Tbk</w:t>
            </w:r>
            <w:r w:rsidRPr="00FF6BD7">
              <w:rPr>
                <w:rFonts w:ascii="Times New Roman" w:hAnsi="Times New Roman" w:cs="Times New Roman"/>
                <w:lang w:val="en-US"/>
              </w:rPr>
              <w:t>.</w:t>
            </w:r>
          </w:p>
        </w:tc>
      </w:tr>
    </w:tbl>
    <w:p w14:paraId="43A0E8B0" w14:textId="77777777" w:rsidR="0047672B" w:rsidRDefault="0047672B" w:rsidP="00881977">
      <w:pPr>
        <w:pStyle w:val="ListParagraph"/>
        <w:spacing w:before="12" w:line="276" w:lineRule="auto"/>
        <w:ind w:left="0" w:right="59"/>
        <w:jc w:val="both"/>
        <w:rPr>
          <w:rFonts w:ascii="Times New Roman" w:hAnsi="Times New Roman" w:cs="Times New Roman"/>
          <w:b/>
          <w:bCs/>
          <w:lang w:val="en-US"/>
        </w:rPr>
      </w:pPr>
    </w:p>
    <w:p w14:paraId="027F4D25" w14:textId="77777777" w:rsidR="00FF6BD7" w:rsidRDefault="00FF6BD7" w:rsidP="00881977">
      <w:pPr>
        <w:pStyle w:val="ListParagraph"/>
        <w:spacing w:before="12" w:line="276" w:lineRule="auto"/>
        <w:ind w:left="0" w:right="59"/>
        <w:jc w:val="both"/>
        <w:rPr>
          <w:rFonts w:ascii="Times New Roman" w:hAnsi="Times New Roman" w:cs="Times New Roman"/>
          <w:b/>
          <w:bCs/>
          <w:lang w:val="en-US"/>
        </w:rPr>
      </w:pPr>
    </w:p>
    <w:p w14:paraId="0A1ECC11" w14:textId="77777777" w:rsidR="00FF6BD7" w:rsidRPr="00FF6BD7" w:rsidRDefault="00FF6BD7" w:rsidP="00881977">
      <w:pPr>
        <w:pStyle w:val="ListParagraph"/>
        <w:spacing w:before="12" w:line="276" w:lineRule="auto"/>
        <w:ind w:left="0" w:right="59"/>
        <w:jc w:val="both"/>
        <w:rPr>
          <w:rFonts w:ascii="Times New Roman" w:hAnsi="Times New Roman" w:cs="Times New Roman"/>
          <w:b/>
          <w:bCs/>
          <w:lang w:val="en-US"/>
        </w:rPr>
      </w:pPr>
    </w:p>
    <w:p w14:paraId="7FECB3AF" w14:textId="44D53D63" w:rsidR="009D75A0" w:rsidRPr="00FF6BD7" w:rsidRDefault="0047672B" w:rsidP="00881977">
      <w:pPr>
        <w:pStyle w:val="ListParagraph"/>
        <w:spacing w:before="12" w:line="276" w:lineRule="auto"/>
        <w:ind w:left="0" w:right="59"/>
        <w:jc w:val="both"/>
        <w:rPr>
          <w:rFonts w:ascii="Times New Roman" w:hAnsi="Times New Roman" w:cs="Times New Roman"/>
          <w:b/>
          <w:bCs/>
          <w:lang w:val="en-US"/>
        </w:rPr>
      </w:pPr>
      <w:r w:rsidRPr="00FF6BD7">
        <w:rPr>
          <w:rFonts w:ascii="Times New Roman" w:hAnsi="Times New Roman" w:cs="Times New Roman"/>
          <w:b/>
          <w:bCs/>
          <w:lang w:val="en-US"/>
        </w:rPr>
        <w:t>Analisis rata-rata harga dividen per lembar masing-masing bank</w:t>
      </w:r>
    </w:p>
    <w:p w14:paraId="40A44EE4" w14:textId="1D7D031C" w:rsidR="00205D5C" w:rsidRPr="00FF6BD7" w:rsidRDefault="00205D5C"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 xml:space="preserve">Berdasarkan data yang ada, dilakukan analisis eksplorasi dengan menggunakan sintaks </w:t>
      </w:r>
      <w:r w:rsidR="005555FB" w:rsidRPr="00FF6BD7">
        <w:rPr>
          <w:rFonts w:ascii="Times New Roman" w:hAnsi="Times New Roman" w:cs="Times New Roman"/>
          <w:lang w:val="en-US"/>
        </w:rPr>
        <w:t>pada gambar 3.</w:t>
      </w:r>
    </w:p>
    <w:p w14:paraId="3A1E51EC" w14:textId="7724A28E" w:rsidR="00205D5C" w:rsidRPr="00FF6BD7" w:rsidRDefault="00205D5C" w:rsidP="00881977">
      <w:pPr>
        <w:pStyle w:val="ListParagraph"/>
        <w:spacing w:before="12" w:line="276" w:lineRule="auto"/>
        <w:ind w:left="0" w:right="59"/>
        <w:jc w:val="both"/>
        <w:rPr>
          <w:rFonts w:ascii="Times New Roman" w:hAnsi="Times New Roman" w:cs="Times New Roman"/>
        </w:rPr>
      </w:pPr>
      <w:r w:rsidRPr="00FF6BD7">
        <w:rPr>
          <w:noProof/>
          <w:lang w:val="en-US"/>
        </w:rPr>
        <w:drawing>
          <wp:inline distT="0" distB="0" distL="0" distR="0" wp14:anchorId="537D1F8A" wp14:editId="022FD803">
            <wp:extent cx="2595490" cy="368246"/>
            <wp:effectExtent l="0" t="0" r="0" b="0"/>
            <wp:docPr id="19277194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1949" name=""/>
                    <pic:cNvPicPr/>
                  </pic:nvPicPr>
                  <pic:blipFill rotWithShape="1">
                    <a:blip r:embed="rId13"/>
                    <a:srcRect l="8262" t="35858" r="52966" b="54364"/>
                    <a:stretch/>
                  </pic:blipFill>
                  <pic:spPr bwMode="auto">
                    <a:xfrm>
                      <a:off x="0" y="0"/>
                      <a:ext cx="2806354" cy="398163"/>
                    </a:xfrm>
                    <a:prstGeom prst="rect">
                      <a:avLst/>
                    </a:prstGeom>
                    <a:ln>
                      <a:noFill/>
                    </a:ln>
                    <a:extLst>
                      <a:ext uri="{53640926-AAD7-44D8-BBD7-CCE9431645EC}">
                        <a14:shadowObscured xmlns:a14="http://schemas.microsoft.com/office/drawing/2010/main"/>
                      </a:ext>
                    </a:extLst>
                  </pic:spPr>
                </pic:pic>
              </a:graphicData>
            </a:graphic>
          </wp:inline>
        </w:drawing>
      </w:r>
    </w:p>
    <w:p w14:paraId="39414DDE" w14:textId="64CC7F1C" w:rsidR="001B4C22" w:rsidRPr="00FF6BD7" w:rsidRDefault="001B4C22" w:rsidP="001B4C22">
      <w:pPr>
        <w:pStyle w:val="ListParagraph"/>
        <w:spacing w:before="12" w:line="276" w:lineRule="auto"/>
        <w:ind w:left="0" w:right="59"/>
        <w:jc w:val="center"/>
        <w:rPr>
          <w:rFonts w:ascii="Times New Roman" w:hAnsi="Times New Roman" w:cs="Times New Roman"/>
          <w:i/>
          <w:iCs/>
          <w:lang w:val="en-US"/>
        </w:rPr>
      </w:pPr>
      <w:r w:rsidRPr="00FF6BD7">
        <w:rPr>
          <w:rFonts w:ascii="Times New Roman" w:hAnsi="Times New Roman" w:cs="Times New Roman"/>
          <w:lang w:val="en-US"/>
        </w:rPr>
        <w:t xml:space="preserve">Gambar 3. </w:t>
      </w:r>
      <w:r w:rsidR="005555FB" w:rsidRPr="00FF6BD7">
        <w:rPr>
          <w:rFonts w:ascii="Times New Roman" w:hAnsi="Times New Roman" w:cs="Times New Roman"/>
          <w:lang w:val="en-US"/>
        </w:rPr>
        <w:t xml:space="preserve">Sintaks </w:t>
      </w:r>
      <w:r w:rsidR="005555FB" w:rsidRPr="00FF6BD7">
        <w:rPr>
          <w:rFonts w:ascii="Times New Roman" w:hAnsi="Times New Roman" w:cs="Times New Roman"/>
          <w:i/>
          <w:iCs/>
          <w:lang w:val="en-US"/>
        </w:rPr>
        <w:t>Python</w:t>
      </w:r>
    </w:p>
    <w:p w14:paraId="6CFF3AB5" w14:textId="6C91998D" w:rsidR="00205D5C" w:rsidRPr="00FF6BD7" w:rsidRDefault="00205D5C"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 xml:space="preserve">Dapat dijabarkan </w:t>
      </w:r>
      <w:r w:rsidR="00BB486F" w:rsidRPr="00FF6BD7">
        <w:rPr>
          <w:rFonts w:ascii="Times New Roman" w:hAnsi="Times New Roman" w:cs="Times New Roman"/>
          <w:lang w:val="en-US"/>
        </w:rPr>
        <w:t xml:space="preserve">bahwa </w:t>
      </w:r>
      <w:r w:rsidRPr="00FF6BD7">
        <w:rPr>
          <w:rFonts w:ascii="Times New Roman" w:hAnsi="Times New Roman" w:cs="Times New Roman"/>
          <w:lang w:val="en-US"/>
        </w:rPr>
        <w:t xml:space="preserve">eksplorasi dilakukan dengan melakukan </w:t>
      </w:r>
      <w:r w:rsidRPr="00FF6BD7">
        <w:rPr>
          <w:rFonts w:ascii="Times New Roman" w:hAnsi="Times New Roman" w:cs="Times New Roman"/>
          <w:lang w:val="en-US"/>
        </w:rPr>
        <w:softHyphen/>
      </w:r>
      <w:r w:rsidRPr="00FF6BD7">
        <w:rPr>
          <w:rFonts w:ascii="Times New Roman" w:hAnsi="Times New Roman" w:cs="Times New Roman"/>
          <w:i/>
          <w:iCs/>
          <w:lang w:val="en-US"/>
        </w:rPr>
        <w:t>grouping</w:t>
      </w:r>
      <w:r w:rsidRPr="00FF6BD7">
        <w:rPr>
          <w:rFonts w:ascii="Times New Roman" w:hAnsi="Times New Roman" w:cs="Times New Roman"/>
          <w:lang w:val="en-US"/>
        </w:rPr>
        <w:t xml:space="preserve"> pada kolom Kode Bank berdasarkan </w:t>
      </w:r>
      <w:r w:rsidR="00BB486F" w:rsidRPr="00FF6BD7">
        <w:rPr>
          <w:rFonts w:ascii="Times New Roman" w:hAnsi="Times New Roman" w:cs="Times New Roman"/>
          <w:lang w:val="en-US"/>
        </w:rPr>
        <w:t xml:space="preserve">pada rata-rata kolom Dividend per lembar kemudian mengururtkannya dari rata-rata terbesar hingga rata-rata terkecil. Hasil yang diperoleh dapat dilihat pada gambar </w:t>
      </w:r>
      <w:r w:rsidR="005555FB" w:rsidRPr="00FF6BD7">
        <w:rPr>
          <w:rFonts w:ascii="Times New Roman" w:hAnsi="Times New Roman" w:cs="Times New Roman"/>
          <w:lang w:val="en-US"/>
        </w:rPr>
        <w:t>4.</w:t>
      </w:r>
    </w:p>
    <w:p w14:paraId="628996E2" w14:textId="4D9E2CCD" w:rsidR="00BB486F" w:rsidRPr="00FF6BD7" w:rsidRDefault="00BB486F" w:rsidP="00881977">
      <w:pPr>
        <w:pStyle w:val="ListParagraph"/>
        <w:spacing w:before="12" w:line="276" w:lineRule="auto"/>
        <w:ind w:left="0" w:right="59"/>
        <w:jc w:val="both"/>
        <w:rPr>
          <w:rFonts w:ascii="Times New Roman" w:hAnsi="Times New Roman" w:cs="Times New Roman"/>
          <w:lang w:val="en-US"/>
        </w:rPr>
      </w:pPr>
      <w:r w:rsidRPr="00FF6BD7">
        <w:rPr>
          <w:noProof/>
          <w:lang w:val="en-US"/>
        </w:rPr>
        <w:drawing>
          <wp:inline distT="0" distB="0" distL="0" distR="0" wp14:anchorId="48299A00" wp14:editId="1F8C3EF2">
            <wp:extent cx="2563458" cy="1188720"/>
            <wp:effectExtent l="0" t="0" r="8890" b="0"/>
            <wp:docPr id="210509657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96577" name=""/>
                    <pic:cNvPicPr/>
                  </pic:nvPicPr>
                  <pic:blipFill rotWithShape="1">
                    <a:blip r:embed="rId13"/>
                    <a:srcRect l="7215" t="53497" r="64648" b="23312"/>
                    <a:stretch/>
                  </pic:blipFill>
                  <pic:spPr bwMode="auto">
                    <a:xfrm>
                      <a:off x="0" y="0"/>
                      <a:ext cx="2611870" cy="1211170"/>
                    </a:xfrm>
                    <a:prstGeom prst="rect">
                      <a:avLst/>
                    </a:prstGeom>
                    <a:ln>
                      <a:noFill/>
                    </a:ln>
                    <a:extLst>
                      <a:ext uri="{53640926-AAD7-44D8-BBD7-CCE9431645EC}">
                        <a14:shadowObscured xmlns:a14="http://schemas.microsoft.com/office/drawing/2010/main"/>
                      </a:ext>
                    </a:extLst>
                  </pic:spPr>
                </pic:pic>
              </a:graphicData>
            </a:graphic>
          </wp:inline>
        </w:drawing>
      </w:r>
    </w:p>
    <w:p w14:paraId="6A3C4A84" w14:textId="5148D570" w:rsidR="005555FB" w:rsidRPr="00FF6BD7" w:rsidRDefault="005555FB" w:rsidP="005555FB">
      <w:pPr>
        <w:pStyle w:val="ListParagraph"/>
        <w:spacing w:before="12" w:line="276" w:lineRule="auto"/>
        <w:ind w:left="0" w:right="59"/>
        <w:jc w:val="center"/>
        <w:rPr>
          <w:rFonts w:ascii="Times New Roman" w:hAnsi="Times New Roman" w:cs="Times New Roman"/>
          <w:i/>
          <w:iCs/>
          <w:lang w:val="en-US"/>
        </w:rPr>
      </w:pPr>
      <w:r w:rsidRPr="00FF6BD7">
        <w:rPr>
          <w:rFonts w:ascii="Times New Roman" w:hAnsi="Times New Roman" w:cs="Times New Roman"/>
          <w:lang w:val="en-US"/>
        </w:rPr>
        <w:t xml:space="preserve">Gambar 4. Hasil </w:t>
      </w:r>
      <w:r w:rsidRPr="00FF6BD7">
        <w:rPr>
          <w:rFonts w:ascii="Times New Roman" w:hAnsi="Times New Roman" w:cs="Times New Roman"/>
          <w:i/>
          <w:iCs/>
          <w:lang w:val="en-US"/>
        </w:rPr>
        <w:t>Grouping</w:t>
      </w:r>
    </w:p>
    <w:p w14:paraId="00B8014D" w14:textId="468C2251" w:rsidR="00BB486F" w:rsidRPr="00FF6BD7" w:rsidRDefault="00AE3CC3"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Secara keseluruah</w:t>
      </w:r>
      <w:r w:rsidR="000C433A" w:rsidRPr="00FF6BD7">
        <w:rPr>
          <w:rFonts w:ascii="Times New Roman" w:hAnsi="Times New Roman" w:cs="Times New Roman"/>
          <w:lang w:val="en-US"/>
        </w:rPr>
        <w:t>a</w:t>
      </w:r>
      <w:r w:rsidRPr="00FF6BD7">
        <w:rPr>
          <w:rFonts w:ascii="Times New Roman" w:hAnsi="Times New Roman" w:cs="Times New Roman"/>
          <w:lang w:val="en-US"/>
        </w:rPr>
        <w:t>n, d</w:t>
      </w:r>
      <w:r w:rsidR="00BB486F" w:rsidRPr="00FF6BD7">
        <w:rPr>
          <w:rFonts w:ascii="Times New Roman" w:hAnsi="Times New Roman" w:cs="Times New Roman"/>
          <w:lang w:val="en-US"/>
        </w:rPr>
        <w:t>iperoleh bank dengan kode BMRI</w:t>
      </w:r>
      <w:r w:rsidR="009D75A0" w:rsidRPr="00FF6BD7">
        <w:rPr>
          <w:rFonts w:ascii="Times New Roman" w:hAnsi="Times New Roman" w:cs="Times New Roman"/>
          <w:lang w:val="en-US"/>
        </w:rPr>
        <w:t xml:space="preserve"> memiliki rata-rata harga dividen per lembar yang paling tinggi</w:t>
      </w:r>
      <w:r w:rsidR="00991DCE" w:rsidRPr="00FF6BD7">
        <w:rPr>
          <w:rFonts w:ascii="Times New Roman" w:hAnsi="Times New Roman" w:cs="Times New Roman"/>
          <w:lang w:val="en-US"/>
        </w:rPr>
        <w:t xml:space="preserve"> dalam rentan 10 tahun terakhir</w:t>
      </w:r>
      <w:r w:rsidR="009D75A0" w:rsidRPr="00FF6BD7">
        <w:rPr>
          <w:rFonts w:ascii="Times New Roman" w:hAnsi="Times New Roman" w:cs="Times New Roman"/>
          <w:lang w:val="en-US"/>
        </w:rPr>
        <w:t xml:space="preserve">, yaitu </w:t>
      </w:r>
      <w:r w:rsidR="004C0128" w:rsidRPr="00FF6BD7">
        <w:rPr>
          <w:rFonts w:ascii="Times New Roman" w:hAnsi="Times New Roman" w:cs="Times New Roman"/>
          <w:lang w:val="en-US"/>
        </w:rPr>
        <w:t xml:space="preserve">rata-rata </w:t>
      </w:r>
      <w:r w:rsidR="009D75A0" w:rsidRPr="00FF6BD7">
        <w:rPr>
          <w:rFonts w:ascii="Times New Roman" w:hAnsi="Times New Roman" w:cs="Times New Roman"/>
          <w:lang w:val="en-US"/>
        </w:rPr>
        <w:t>sebesar 287</w:t>
      </w:r>
      <w:r w:rsidR="00991DCE" w:rsidRPr="00FF6BD7">
        <w:rPr>
          <w:rFonts w:ascii="Times New Roman" w:hAnsi="Times New Roman" w:cs="Times New Roman"/>
          <w:lang w:val="en-US"/>
        </w:rPr>
        <w:t>,</w:t>
      </w:r>
      <w:r w:rsidR="009D75A0" w:rsidRPr="00FF6BD7">
        <w:rPr>
          <w:rFonts w:ascii="Times New Roman" w:hAnsi="Times New Roman" w:cs="Times New Roman"/>
          <w:lang w:val="en-US"/>
        </w:rPr>
        <w:t>850</w:t>
      </w:r>
      <w:r w:rsidR="00991DCE" w:rsidRPr="00FF6BD7">
        <w:rPr>
          <w:rFonts w:ascii="Times New Roman" w:hAnsi="Times New Roman" w:cs="Times New Roman"/>
          <w:lang w:val="en-US"/>
        </w:rPr>
        <w:t xml:space="preserve">000 (IDR). Perolehan rata-rata tersebut cukup tinggi dikarenakan adanya perbedaan yang cukup banyak dari bank-bank yang lain. Dibawahnya dengan rata-rata harga dividen perlembar sebesar 205,53363 (IDR) terdapat bank dengan kode BBRI. Selanjutnya </w:t>
      </w:r>
      <w:r w:rsidR="00CB3FE9" w:rsidRPr="00FF6BD7">
        <w:rPr>
          <w:rFonts w:ascii="Times New Roman" w:hAnsi="Times New Roman" w:cs="Times New Roman"/>
          <w:lang w:val="en-US"/>
        </w:rPr>
        <w:t xml:space="preserve">secara berurutan </w:t>
      </w:r>
      <w:r w:rsidR="00991DCE" w:rsidRPr="00FF6BD7">
        <w:rPr>
          <w:rFonts w:ascii="Times New Roman" w:hAnsi="Times New Roman" w:cs="Times New Roman"/>
          <w:lang w:val="en-US"/>
        </w:rPr>
        <w:t xml:space="preserve">terdapat </w:t>
      </w:r>
      <w:r w:rsidR="00CB3FE9" w:rsidRPr="00FF6BD7">
        <w:rPr>
          <w:rFonts w:ascii="Times New Roman" w:hAnsi="Times New Roman" w:cs="Times New Roman"/>
          <w:lang w:val="en-US"/>
        </w:rPr>
        <w:t>bank dengan kode BBNI, MEGA, dan BBCA yang masing-masing memperoleh rata-rata dividen per lembar sebesar 187,179000 (IDR), 163,366667 (IDR</w:t>
      </w:r>
      <w:proofErr w:type="gramStart"/>
      <w:r w:rsidR="00CB3FE9" w:rsidRPr="00FF6BD7">
        <w:rPr>
          <w:rFonts w:ascii="Times New Roman" w:hAnsi="Times New Roman" w:cs="Times New Roman"/>
          <w:lang w:val="en-US"/>
        </w:rPr>
        <w:t>) ,</w:t>
      </w:r>
      <w:proofErr w:type="gramEnd"/>
      <w:r w:rsidR="00CB3FE9" w:rsidRPr="00FF6BD7">
        <w:rPr>
          <w:rFonts w:ascii="Times New Roman" w:hAnsi="Times New Roman" w:cs="Times New Roman"/>
          <w:lang w:val="en-US"/>
        </w:rPr>
        <w:t xml:space="preserve"> dan 132,900000 (IDR). Sementara itu bank </w:t>
      </w:r>
      <w:r w:rsidR="00CB3FE9" w:rsidRPr="00FF6BD7">
        <w:rPr>
          <w:rFonts w:ascii="Times New Roman" w:hAnsi="Times New Roman" w:cs="Times New Roman"/>
          <w:lang w:val="en-US"/>
        </w:rPr>
        <w:lastRenderedPageBreak/>
        <w:t>dengan kode BNGA dan BRIS memperoleh rata-rata dividen per lembar yang terkecil yaitu hanya 60,046667 (IDR) dan 9,580000 (IDR).</w:t>
      </w:r>
    </w:p>
    <w:p w14:paraId="6CE6C7D7" w14:textId="0DDE8714" w:rsidR="0047672B" w:rsidRPr="00FF6BD7" w:rsidRDefault="0047672B" w:rsidP="0047672B">
      <w:pPr>
        <w:spacing w:before="12" w:line="276" w:lineRule="auto"/>
        <w:ind w:right="59"/>
        <w:jc w:val="both"/>
        <w:rPr>
          <w:b/>
          <w:bCs/>
          <w:sz w:val="22"/>
          <w:szCs w:val="22"/>
        </w:rPr>
      </w:pPr>
      <w:r w:rsidRPr="00FF6BD7">
        <w:rPr>
          <w:b/>
          <w:bCs/>
          <w:sz w:val="22"/>
          <w:szCs w:val="22"/>
        </w:rPr>
        <w:t>Analisis proporsi jenis mekanisme</w:t>
      </w:r>
      <w:r w:rsidR="005E03CC" w:rsidRPr="00FF6BD7">
        <w:rPr>
          <w:b/>
          <w:bCs/>
          <w:sz w:val="22"/>
          <w:szCs w:val="22"/>
        </w:rPr>
        <w:t xml:space="preserve"> pembagian dividen</w:t>
      </w:r>
    </w:p>
    <w:p w14:paraId="0233B695" w14:textId="5DBABF3B" w:rsidR="00FA7A80" w:rsidRPr="00FF6BD7" w:rsidRDefault="00CB3FE9"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Analisis selanjutnya dilakukan dengan visualisasi, visualisasi dibuat secara sederhana dengan informasi yang dapat dipahami dan digunakan oleh calon investor untuk melihat gambaran dividen pada masing-masing bank. Pada data yang ada, terdapat dua jenis metode pembagian dividen yang dilakukan oleh perusahaan bank</w:t>
      </w:r>
      <w:r w:rsidR="00FA7A80" w:rsidRPr="00FF6BD7">
        <w:rPr>
          <w:rFonts w:ascii="Times New Roman" w:hAnsi="Times New Roman" w:cs="Times New Roman"/>
          <w:lang w:val="en-US"/>
        </w:rPr>
        <w:t>, yaitu Interim dan Final yang</w:t>
      </w:r>
      <w:r w:rsidR="00B01BE8" w:rsidRPr="00FF6BD7">
        <w:rPr>
          <w:rFonts w:ascii="Times New Roman" w:hAnsi="Times New Roman" w:cs="Times New Roman"/>
          <w:lang w:val="en-US"/>
        </w:rPr>
        <w:t xml:space="preserve"> proporsinya</w:t>
      </w:r>
      <w:r w:rsidR="00FA7A80" w:rsidRPr="00FF6BD7">
        <w:rPr>
          <w:rFonts w:ascii="Times New Roman" w:hAnsi="Times New Roman" w:cs="Times New Roman"/>
          <w:lang w:val="en-US"/>
        </w:rPr>
        <w:t xml:space="preserve"> dapat dilihat pada gambar </w:t>
      </w:r>
      <w:r w:rsidR="005555FB" w:rsidRPr="00FF6BD7">
        <w:rPr>
          <w:rFonts w:ascii="Times New Roman" w:hAnsi="Times New Roman" w:cs="Times New Roman"/>
          <w:lang w:val="en-US"/>
        </w:rPr>
        <w:t>5.</w:t>
      </w:r>
    </w:p>
    <w:p w14:paraId="0253D3AE" w14:textId="52145F85" w:rsidR="007E78F2" w:rsidRPr="00FF6BD7" w:rsidRDefault="00205D5C" w:rsidP="00F4194F">
      <w:pPr>
        <w:pStyle w:val="ListParagraph"/>
        <w:spacing w:before="12" w:line="276" w:lineRule="auto"/>
        <w:ind w:left="0" w:right="59"/>
        <w:jc w:val="center"/>
        <w:rPr>
          <w:rFonts w:ascii="Times New Roman" w:hAnsi="Times New Roman" w:cs="Times New Roman"/>
          <w:lang w:val="en-US"/>
        </w:rPr>
      </w:pPr>
      <w:r w:rsidRPr="00FF6BD7">
        <w:rPr>
          <w:noProof/>
          <w:lang w:val="en-US"/>
        </w:rPr>
        <w:drawing>
          <wp:inline distT="0" distB="0" distL="0" distR="0" wp14:anchorId="09648871" wp14:editId="473D0E42">
            <wp:extent cx="1701800" cy="1457689"/>
            <wp:effectExtent l="0" t="0" r="0" b="9525"/>
            <wp:docPr id="14312286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8629" name=""/>
                    <pic:cNvPicPr/>
                  </pic:nvPicPr>
                  <pic:blipFill rotWithShape="1">
                    <a:blip r:embed="rId14"/>
                    <a:srcRect l="29944" t="28306" r="56125" b="50486"/>
                    <a:stretch/>
                  </pic:blipFill>
                  <pic:spPr bwMode="auto">
                    <a:xfrm>
                      <a:off x="0" y="0"/>
                      <a:ext cx="1762435" cy="1509626"/>
                    </a:xfrm>
                    <a:prstGeom prst="rect">
                      <a:avLst/>
                    </a:prstGeom>
                    <a:ln>
                      <a:noFill/>
                    </a:ln>
                    <a:extLst>
                      <a:ext uri="{53640926-AAD7-44D8-BBD7-CCE9431645EC}">
                        <a14:shadowObscured xmlns:a14="http://schemas.microsoft.com/office/drawing/2010/main"/>
                      </a:ext>
                    </a:extLst>
                  </pic:spPr>
                </pic:pic>
              </a:graphicData>
            </a:graphic>
          </wp:inline>
        </w:drawing>
      </w:r>
    </w:p>
    <w:p w14:paraId="5C30716C" w14:textId="0C1939AF" w:rsidR="005555FB" w:rsidRPr="00FF6BD7" w:rsidRDefault="005555FB" w:rsidP="00F4194F">
      <w:pPr>
        <w:pStyle w:val="ListParagraph"/>
        <w:spacing w:before="12" w:line="276" w:lineRule="auto"/>
        <w:ind w:left="0" w:right="59"/>
        <w:jc w:val="center"/>
        <w:rPr>
          <w:rFonts w:ascii="Times New Roman" w:hAnsi="Times New Roman" w:cs="Times New Roman"/>
          <w:lang w:val="en-US"/>
        </w:rPr>
      </w:pPr>
      <w:r w:rsidRPr="00FF6BD7">
        <w:rPr>
          <w:rFonts w:ascii="Times New Roman" w:hAnsi="Times New Roman" w:cs="Times New Roman"/>
          <w:lang w:val="en-US"/>
        </w:rPr>
        <w:t>Gambar 5. Proporsi Mekanisme Pembagian Dividen</w:t>
      </w:r>
    </w:p>
    <w:p w14:paraId="0CF2B4FC" w14:textId="1CFF3188" w:rsidR="00B01BE8" w:rsidRPr="00FF6BD7" w:rsidRDefault="00B01BE8"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Mekanisme pembagian dividen dengan jenis Final lebih mendominasi daripada mekanisme pembagian dividen dengan jenis Interim. Persentase proporsi antara kedua mekanisme pembagian dividen yaitu 17,39% untuk Interim dan 82,61% untuk Final.</w:t>
      </w:r>
    </w:p>
    <w:p w14:paraId="1C64795E" w14:textId="4C5A31E0" w:rsidR="00DA75FA" w:rsidRPr="00FF6BD7" w:rsidRDefault="00DA75FA" w:rsidP="00881977">
      <w:pPr>
        <w:pStyle w:val="ListParagraph"/>
        <w:spacing w:before="12" w:line="276" w:lineRule="auto"/>
        <w:ind w:left="0" w:right="59"/>
        <w:jc w:val="both"/>
        <w:rPr>
          <w:rFonts w:ascii="Times New Roman" w:hAnsi="Times New Roman" w:cs="Times New Roman"/>
          <w:lang w:val="en-US"/>
        </w:rPr>
      </w:pPr>
      <w:r w:rsidRPr="00FF6BD7">
        <w:rPr>
          <w:rFonts w:ascii="Times New Roman" w:hAnsi="Times New Roman" w:cs="Times New Roman"/>
          <w:lang w:val="en-US"/>
        </w:rPr>
        <w:t xml:space="preserve">Hasil visualisasi jenis mekanisme pembagian dividen dari perusahaan yang ada pada penelitian ini terlihat pada </w:t>
      </w:r>
      <w:r w:rsidR="005555FB" w:rsidRPr="00FF6BD7">
        <w:rPr>
          <w:rFonts w:ascii="Times New Roman" w:hAnsi="Times New Roman" w:cs="Times New Roman"/>
          <w:lang w:val="en-US"/>
        </w:rPr>
        <w:t>gambar 6.</w:t>
      </w:r>
    </w:p>
    <w:p w14:paraId="42153048" w14:textId="4341690E" w:rsidR="00AB3E95" w:rsidRPr="00FF6BD7" w:rsidRDefault="00DA75FA" w:rsidP="00881977">
      <w:pPr>
        <w:pStyle w:val="ListParagraph"/>
        <w:spacing w:before="12" w:line="276" w:lineRule="auto"/>
        <w:ind w:left="0" w:right="59"/>
        <w:jc w:val="both"/>
        <w:rPr>
          <w:rFonts w:ascii="Times New Roman" w:hAnsi="Times New Roman" w:cs="Times New Roman"/>
        </w:rPr>
      </w:pPr>
      <w:r w:rsidRPr="00FF6BD7">
        <w:rPr>
          <w:noProof/>
          <w:lang w:val="en-US"/>
        </w:rPr>
        <w:drawing>
          <wp:inline distT="0" distB="0" distL="0" distR="0" wp14:anchorId="3F681261" wp14:editId="04D2D058">
            <wp:extent cx="2632075" cy="2269074"/>
            <wp:effectExtent l="0" t="0" r="0" b="0"/>
            <wp:docPr id="56516593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937" name=""/>
                    <pic:cNvPicPr/>
                  </pic:nvPicPr>
                  <pic:blipFill rotWithShape="1">
                    <a:blip r:embed="rId15"/>
                    <a:srcRect l="29944" t="26612" r="31321" b="14026"/>
                    <a:stretch/>
                  </pic:blipFill>
                  <pic:spPr bwMode="auto">
                    <a:xfrm>
                      <a:off x="0" y="0"/>
                      <a:ext cx="2632075" cy="2269074"/>
                    </a:xfrm>
                    <a:prstGeom prst="rect">
                      <a:avLst/>
                    </a:prstGeom>
                    <a:ln>
                      <a:noFill/>
                    </a:ln>
                    <a:extLst>
                      <a:ext uri="{53640926-AAD7-44D8-BBD7-CCE9431645EC}">
                        <a14:shadowObscured xmlns:a14="http://schemas.microsoft.com/office/drawing/2010/main"/>
                      </a:ext>
                    </a:extLst>
                  </pic:spPr>
                </pic:pic>
              </a:graphicData>
            </a:graphic>
          </wp:inline>
        </w:drawing>
      </w:r>
    </w:p>
    <w:p w14:paraId="75645813" w14:textId="1C43A7BD" w:rsidR="005555FB" w:rsidRPr="00FF6BD7" w:rsidRDefault="005555FB" w:rsidP="005555FB">
      <w:pPr>
        <w:pStyle w:val="ListParagraph"/>
        <w:spacing w:before="12" w:line="276" w:lineRule="auto"/>
        <w:ind w:left="0" w:right="59"/>
        <w:jc w:val="center"/>
        <w:rPr>
          <w:rFonts w:ascii="Times New Roman" w:hAnsi="Times New Roman" w:cs="Times New Roman"/>
          <w:lang w:val="en-US"/>
        </w:rPr>
      </w:pPr>
      <w:r w:rsidRPr="00FF6BD7">
        <w:rPr>
          <w:rFonts w:ascii="Times New Roman" w:hAnsi="Times New Roman" w:cs="Times New Roman"/>
          <w:lang w:val="en-US"/>
        </w:rPr>
        <w:t>Gambar 6. Mekaniesme Pembagian Dividen Setiap Bank</w:t>
      </w:r>
    </w:p>
    <w:p w14:paraId="43A831B5" w14:textId="074E649E" w:rsidR="00811F5A" w:rsidRPr="00FF6BD7" w:rsidRDefault="00DA75FA" w:rsidP="00D0701B">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lastRenderedPageBreak/>
        <w:t xml:space="preserve">Didapatkan hasil bahwa bank dengan kode BBCA menerapkan kedua mekanisme pembagian dividen kepada para investornya. Berdasarkan dari jumlahnya, yaitu 10 dengan mekanisme Final dan 10 dengan mekanisme </w:t>
      </w:r>
      <w:r w:rsidR="00CC5FFE" w:rsidRPr="00FF6BD7">
        <w:rPr>
          <w:rFonts w:ascii="Times New Roman" w:hAnsi="Times New Roman" w:cs="Times New Roman"/>
          <w:lang w:val="en-US"/>
        </w:rPr>
        <w:t xml:space="preserve">Interim, bank tersebut melakukan pembagian dividen sebanyak dua kali selama setahun, pembagian tersebut dapat dilakukan sebagai strategi untuk menarik investor dan membangun loyalitas investor terhadap bank tersebut. Selanjutnya terdapat bank dengan kode BBRI yang menerapkan kedua mekanisme pembagian dividen. Bank tersebut telah melakukan pembagian dividen 10 kali dengan jenis Final dan 1 kali dengan jenis Interim. Dapat diketahui bahwa selama kurun waktu 10 tahun bank tersebut telah mencoba membagikan dividen dua kali selama </w:t>
      </w:r>
      <w:r w:rsidR="002E32B3" w:rsidRPr="00FF6BD7">
        <w:rPr>
          <w:rFonts w:ascii="Times New Roman" w:hAnsi="Times New Roman" w:cs="Times New Roman"/>
          <w:lang w:val="en-US"/>
        </w:rPr>
        <w:t>setahun pada tahun tertentu. Kemudian terdapat bank dengan kode BMRI yang juga menerapkan kedua mekanisme tersebut. Berbeda dengan bank sebelumnya, bank ini menerapkan 9 kali pembagian dividen dengan jenis mekanisme Final dan 1 kali pembagian dividen dengan jenis mekanisme Interim.</w:t>
      </w:r>
    </w:p>
    <w:p w14:paraId="2C35C1FB" w14:textId="049E4E96" w:rsidR="005E03CC" w:rsidRPr="00FF6BD7" w:rsidRDefault="00F4194F" w:rsidP="005E03CC">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Mekanisme pembagian yang dilakukan bank juga dapat sepenuhnya dengan mekanisme pembagian jenis Final. Terlihat bahwa bank dengan kode bank BBNI, MEGA, BNGA, dan BRIS hanya menerapkan mekanisme pembagian dividen dengan jenis Final. Dapat dilihat adanya perbedaan total dividen yang dibagikan antar ketiga bank tersebut, dimana bank dengan kode BBNI melakukan pembagian 10 kali, yang artinya bank tersebut melakukan pembagian rutin selama kurun waktu 10 tahun. Berbeda dengan bank dengan kode MEGA</w:t>
      </w:r>
      <w:r w:rsidR="00AE3CC3" w:rsidRPr="00FF6BD7">
        <w:rPr>
          <w:rFonts w:ascii="Times New Roman" w:hAnsi="Times New Roman" w:cs="Times New Roman"/>
          <w:lang w:val="en-US"/>
        </w:rPr>
        <w:t xml:space="preserve">, </w:t>
      </w:r>
      <w:r w:rsidRPr="00FF6BD7">
        <w:rPr>
          <w:rFonts w:ascii="Times New Roman" w:hAnsi="Times New Roman" w:cs="Times New Roman"/>
          <w:lang w:val="en-US"/>
        </w:rPr>
        <w:t>BNGA</w:t>
      </w:r>
      <w:r w:rsidR="00AE3CC3" w:rsidRPr="00FF6BD7">
        <w:rPr>
          <w:rFonts w:ascii="Times New Roman" w:hAnsi="Times New Roman" w:cs="Times New Roman"/>
          <w:lang w:val="en-US"/>
        </w:rPr>
        <w:t>, dan BRIS</w:t>
      </w:r>
      <w:r w:rsidR="003920CB" w:rsidRPr="00FF6BD7">
        <w:rPr>
          <w:rFonts w:ascii="Times New Roman" w:hAnsi="Times New Roman" w:cs="Times New Roman"/>
          <w:lang w:val="en-US"/>
        </w:rPr>
        <w:t xml:space="preserve"> yang diketahui cenderung </w:t>
      </w:r>
      <w:r w:rsidR="00AE3CC3" w:rsidRPr="00FF6BD7">
        <w:rPr>
          <w:rFonts w:ascii="Times New Roman" w:hAnsi="Times New Roman" w:cs="Times New Roman"/>
          <w:lang w:val="en-US"/>
        </w:rPr>
        <w:t>kurang</w:t>
      </w:r>
      <w:r w:rsidR="003920CB" w:rsidRPr="00FF6BD7">
        <w:rPr>
          <w:rFonts w:ascii="Times New Roman" w:hAnsi="Times New Roman" w:cs="Times New Roman"/>
          <w:lang w:val="en-US"/>
        </w:rPr>
        <w:t xml:space="preserve"> stabil dalam pembagian dividennya dalam kurun waktu 10 tahun</w:t>
      </w:r>
      <w:r w:rsidR="00AE3CC3" w:rsidRPr="00FF6BD7">
        <w:rPr>
          <w:rFonts w:ascii="Times New Roman" w:hAnsi="Times New Roman" w:cs="Times New Roman"/>
          <w:lang w:val="en-US"/>
        </w:rPr>
        <w:t>, dimana bank tersebut secara berurutan hanya membagikan dividen sebanyak 9, 6, dan 3 kali.</w:t>
      </w:r>
    </w:p>
    <w:p w14:paraId="639F3AB6" w14:textId="29B98942" w:rsidR="005E03CC" w:rsidRPr="00FF6BD7" w:rsidRDefault="005E03CC" w:rsidP="005E03CC">
      <w:pPr>
        <w:spacing w:before="12" w:line="276" w:lineRule="auto"/>
        <w:ind w:right="59"/>
        <w:jc w:val="both"/>
        <w:rPr>
          <w:b/>
          <w:bCs/>
          <w:sz w:val="22"/>
          <w:szCs w:val="22"/>
        </w:rPr>
      </w:pPr>
      <w:r w:rsidRPr="00FF6BD7">
        <w:rPr>
          <w:b/>
          <w:bCs/>
          <w:sz w:val="22"/>
          <w:szCs w:val="22"/>
        </w:rPr>
        <w:t>Analisis perubahan harga dividen per lembar masing-masing bank</w:t>
      </w:r>
    </w:p>
    <w:p w14:paraId="7F7E2648" w14:textId="6D2CA0EC" w:rsidR="00AB3E95" w:rsidRPr="00FF6BD7" w:rsidRDefault="00AE3CC3"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 xml:space="preserve">Analisis selanjutnya yaitu berdasarkan pada perubahan harga dividen per lembar masing-masing bank secara lebih spesifik </w:t>
      </w:r>
      <w:r w:rsidRPr="00FF6BD7">
        <w:rPr>
          <w:rFonts w:ascii="Times New Roman" w:hAnsi="Times New Roman" w:cs="Times New Roman"/>
          <w:lang w:val="en-US"/>
        </w:rPr>
        <w:lastRenderedPageBreak/>
        <w:t>selama periode 2013-2023.</w:t>
      </w:r>
      <w:r w:rsidR="00453659" w:rsidRPr="00FF6BD7">
        <w:rPr>
          <w:rFonts w:ascii="Times New Roman" w:hAnsi="Times New Roman" w:cs="Times New Roman"/>
          <w:lang w:val="en-US"/>
        </w:rPr>
        <w:t xml:space="preserve"> Visualisasi yang dihasilkan dapat dilihat pada gambar </w:t>
      </w:r>
      <w:r w:rsidR="00625DE1" w:rsidRPr="00FF6BD7">
        <w:rPr>
          <w:rFonts w:ascii="Times New Roman" w:hAnsi="Times New Roman" w:cs="Times New Roman"/>
          <w:lang w:val="en-US"/>
        </w:rPr>
        <w:t>7.</w:t>
      </w:r>
      <w:r w:rsidR="00453659" w:rsidRPr="00FF6BD7">
        <w:rPr>
          <w:rFonts w:ascii="Times New Roman" w:hAnsi="Times New Roman" w:cs="Times New Roman"/>
          <w:lang w:val="en-US"/>
        </w:rPr>
        <w:t xml:space="preserve"> </w:t>
      </w:r>
    </w:p>
    <w:p w14:paraId="73C5E103" w14:textId="37D0D668" w:rsidR="005555FB" w:rsidRPr="00FF6BD7" w:rsidRDefault="00453659" w:rsidP="005555FB">
      <w:pPr>
        <w:pStyle w:val="ListParagraph"/>
        <w:spacing w:before="12" w:line="276" w:lineRule="auto"/>
        <w:ind w:left="0" w:right="59"/>
        <w:jc w:val="both"/>
        <w:rPr>
          <w:noProof/>
        </w:rPr>
      </w:pPr>
      <w:r w:rsidRPr="00FF6BD7">
        <w:rPr>
          <w:noProof/>
          <w:lang w:val="en-US"/>
        </w:rPr>
        <w:drawing>
          <wp:inline distT="0" distB="0" distL="0" distR="0" wp14:anchorId="70355D81" wp14:editId="5CFFF875">
            <wp:extent cx="2146852" cy="1774722"/>
            <wp:effectExtent l="0" t="0" r="6350" b="0"/>
            <wp:docPr id="23083589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35899" name=""/>
                    <pic:cNvPicPr/>
                  </pic:nvPicPr>
                  <pic:blipFill rotWithShape="1">
                    <a:blip r:embed="rId16"/>
                    <a:srcRect l="30016" t="27344" r="29434" b="13075"/>
                    <a:stretch/>
                  </pic:blipFill>
                  <pic:spPr bwMode="auto">
                    <a:xfrm>
                      <a:off x="0" y="0"/>
                      <a:ext cx="2212957" cy="1829368"/>
                    </a:xfrm>
                    <a:prstGeom prst="rect">
                      <a:avLst/>
                    </a:prstGeom>
                    <a:ln>
                      <a:noFill/>
                    </a:ln>
                    <a:extLst>
                      <a:ext uri="{53640926-AAD7-44D8-BBD7-CCE9431645EC}">
                        <a14:shadowObscured xmlns:a14="http://schemas.microsoft.com/office/drawing/2010/main"/>
                      </a:ext>
                    </a:extLst>
                  </pic:spPr>
                </pic:pic>
              </a:graphicData>
            </a:graphic>
          </wp:inline>
        </w:drawing>
      </w:r>
      <w:r w:rsidR="00FA4A29" w:rsidRPr="00FF6BD7">
        <w:rPr>
          <w:noProof/>
        </w:rPr>
        <w:t xml:space="preserve"> </w:t>
      </w:r>
      <w:r w:rsidR="00FA4A29" w:rsidRPr="00FF6BD7">
        <w:rPr>
          <w:noProof/>
          <w:lang w:val="en-US"/>
        </w:rPr>
        <w:drawing>
          <wp:inline distT="0" distB="0" distL="0" distR="0" wp14:anchorId="04B4ACDE" wp14:editId="3691A394">
            <wp:extent cx="393808" cy="954157"/>
            <wp:effectExtent l="0" t="0" r="6350" b="0"/>
            <wp:docPr id="199907701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77019" name=""/>
                    <pic:cNvPicPr/>
                  </pic:nvPicPr>
                  <pic:blipFill rotWithShape="1">
                    <a:blip r:embed="rId17"/>
                    <a:srcRect l="87607" t="21479" r="6935" b="55014"/>
                    <a:stretch/>
                  </pic:blipFill>
                  <pic:spPr bwMode="auto">
                    <a:xfrm>
                      <a:off x="0" y="0"/>
                      <a:ext cx="408121" cy="988836"/>
                    </a:xfrm>
                    <a:prstGeom prst="rect">
                      <a:avLst/>
                    </a:prstGeom>
                    <a:ln>
                      <a:noFill/>
                    </a:ln>
                    <a:extLst>
                      <a:ext uri="{53640926-AAD7-44D8-BBD7-CCE9431645EC}">
                        <a14:shadowObscured xmlns:a14="http://schemas.microsoft.com/office/drawing/2010/main"/>
                      </a:ext>
                    </a:extLst>
                  </pic:spPr>
                </pic:pic>
              </a:graphicData>
            </a:graphic>
          </wp:inline>
        </w:drawing>
      </w:r>
    </w:p>
    <w:p w14:paraId="573F6610" w14:textId="109384B4" w:rsidR="005555FB" w:rsidRPr="00FF6BD7" w:rsidRDefault="005555FB" w:rsidP="005555FB">
      <w:pPr>
        <w:pStyle w:val="ListParagraph"/>
        <w:spacing w:before="12" w:line="276" w:lineRule="auto"/>
        <w:ind w:left="0" w:right="59"/>
        <w:jc w:val="center"/>
        <w:rPr>
          <w:rFonts w:ascii="Times New Roman" w:hAnsi="Times New Roman" w:cs="Times New Roman"/>
          <w:bCs/>
          <w:lang w:val="en-US"/>
        </w:rPr>
      </w:pPr>
      <w:r w:rsidRPr="00FF6BD7">
        <w:rPr>
          <w:rFonts w:ascii="Times New Roman" w:hAnsi="Times New Roman" w:cs="Times New Roman"/>
          <w:bCs/>
          <w:lang w:val="en-US"/>
        </w:rPr>
        <w:t>Gambar 7. Perubahan Harga Dividen Per Lembar</w:t>
      </w:r>
    </w:p>
    <w:p w14:paraId="15443C61" w14:textId="61BE2933" w:rsidR="00453659" w:rsidRPr="00FF6BD7" w:rsidRDefault="00555AA3" w:rsidP="00625DE1">
      <w:pPr>
        <w:pStyle w:val="ListParagraph"/>
        <w:spacing w:before="12" w:line="276" w:lineRule="auto"/>
        <w:ind w:left="0" w:right="59" w:firstLine="426"/>
        <w:jc w:val="both"/>
        <w:rPr>
          <w:rFonts w:ascii="Times New Roman" w:hAnsi="Times New Roman" w:cs="Times New Roman"/>
          <w:bCs/>
          <w:lang w:val="en-US"/>
        </w:rPr>
      </w:pPr>
      <w:r w:rsidRPr="00FF6BD7">
        <w:rPr>
          <w:rFonts w:ascii="Times New Roman" w:hAnsi="Times New Roman" w:cs="Times New Roman"/>
          <w:bCs/>
          <w:lang w:val="en-US"/>
        </w:rPr>
        <w:t>Berdasarkan visualisasi yang dihasilkan, bank dengan kode BBCA memperlihatkan adanya konsistensi untuk pembagian dividennya yaitu periode tahun 2012 hingga 2023. Hal ini dapat menjadi gambaran bahwa untuk setiap tahunnya bank dengan kode BBCA mendapatkan profitabilitas yang cenderung lebih stabil daripada bank-bank lain yang terlihat belum secara teratur membagikan dividen untuk setiap tahunnya.</w:t>
      </w:r>
      <w:r w:rsidR="00BF2AE0" w:rsidRPr="00FF6BD7">
        <w:rPr>
          <w:rFonts w:ascii="Times New Roman" w:hAnsi="Times New Roman" w:cs="Times New Roman"/>
          <w:bCs/>
          <w:lang w:val="en-US"/>
        </w:rPr>
        <w:t xml:space="preserve"> Walaupun dapat dilihat pada tahun 2020 hingga 2023 bank dengan kode BBCA ini mengalam</w:t>
      </w:r>
      <w:r w:rsidR="005D6A3D" w:rsidRPr="00FF6BD7">
        <w:rPr>
          <w:rFonts w:ascii="Times New Roman" w:hAnsi="Times New Roman" w:cs="Times New Roman"/>
          <w:bCs/>
          <w:lang w:val="en-US"/>
        </w:rPr>
        <w:t>i</w:t>
      </w:r>
      <w:r w:rsidR="00BF2AE0" w:rsidRPr="00FF6BD7">
        <w:rPr>
          <w:rFonts w:ascii="Times New Roman" w:hAnsi="Times New Roman" w:cs="Times New Roman"/>
          <w:bCs/>
          <w:lang w:val="en-US"/>
        </w:rPr>
        <w:t xml:space="preserve"> penurunan dalam harga dividen per lembarnya. Namun, dapat lihat secara keseluruhan bahwa mulai pada tahun 2020 semua bank kecuali bank dengan kode MEGA, mengalami penurunan harga dividen per lembarnya. Kondisi ini diperkirakan karena adanya masa pandemi COVID-19, sehingga terjadi penurunan profitabilitas bank yang berdampak pada penurunan harga dividen.</w:t>
      </w:r>
    </w:p>
    <w:p w14:paraId="494CA65D" w14:textId="75A03982" w:rsidR="00BF2AE0" w:rsidRPr="00FF6BD7" w:rsidRDefault="00BF2AE0" w:rsidP="00625DE1">
      <w:pPr>
        <w:pStyle w:val="ListParagraph"/>
        <w:spacing w:before="12" w:line="276" w:lineRule="auto"/>
        <w:ind w:left="0" w:right="59" w:firstLine="426"/>
        <w:jc w:val="both"/>
        <w:rPr>
          <w:rFonts w:ascii="Times New Roman" w:hAnsi="Times New Roman" w:cs="Times New Roman"/>
          <w:bCs/>
          <w:lang w:val="en-US"/>
        </w:rPr>
      </w:pPr>
      <w:r w:rsidRPr="00FF6BD7">
        <w:rPr>
          <w:rFonts w:ascii="Times New Roman" w:hAnsi="Times New Roman" w:cs="Times New Roman"/>
          <w:bCs/>
          <w:lang w:val="en-US"/>
        </w:rPr>
        <w:t xml:space="preserve">Analisis berikutnya yaitu dapat dilihat bahwa bank dengan kode BMRI memiliki stabilitas </w:t>
      </w:r>
      <w:r w:rsidR="005C49CF" w:rsidRPr="00FF6BD7">
        <w:rPr>
          <w:rFonts w:ascii="Times New Roman" w:hAnsi="Times New Roman" w:cs="Times New Roman"/>
          <w:bCs/>
          <w:lang w:val="en-US"/>
        </w:rPr>
        <w:t>harga dividen per lembar yang baik, dimana bank ini mengalami kenaikan dan penurunan yang tidak terlalu signifikan namun tetap</w:t>
      </w:r>
      <w:r w:rsidR="005D6A3D" w:rsidRPr="00FF6BD7">
        <w:rPr>
          <w:rFonts w:ascii="Times New Roman" w:hAnsi="Times New Roman" w:cs="Times New Roman"/>
          <w:bCs/>
          <w:lang w:val="en-US"/>
        </w:rPr>
        <w:t xml:space="preserve"> dapat bertahan</w:t>
      </w:r>
      <w:r w:rsidR="005C49CF" w:rsidRPr="00FF6BD7">
        <w:rPr>
          <w:rFonts w:ascii="Times New Roman" w:hAnsi="Times New Roman" w:cs="Times New Roman"/>
          <w:bCs/>
          <w:lang w:val="en-US"/>
        </w:rPr>
        <w:t xml:space="preserve"> berada </w:t>
      </w:r>
      <w:r w:rsidR="005D6A3D" w:rsidRPr="00FF6BD7">
        <w:rPr>
          <w:rFonts w:ascii="Times New Roman" w:hAnsi="Times New Roman" w:cs="Times New Roman"/>
          <w:bCs/>
          <w:lang w:val="en-US"/>
        </w:rPr>
        <w:t xml:space="preserve">pada posisinya yang lebih tinggi dibandingkan dengan beberapa bank lain. Pada grafik lain terlihat bank dengan kode BBRI, BBNI, dan MEGA masih belum stabil dalam perubahan harga dividen per lembar yang diberikan kepada investor. Kemudian dapat dilihat pada gambar </w:t>
      </w:r>
      <w:r w:rsidR="005555FB" w:rsidRPr="00FF6BD7">
        <w:rPr>
          <w:rFonts w:ascii="Times New Roman" w:hAnsi="Times New Roman" w:cs="Times New Roman"/>
          <w:bCs/>
          <w:lang w:val="en-US"/>
        </w:rPr>
        <w:t xml:space="preserve">7. </w:t>
      </w:r>
      <w:r w:rsidR="005D6A3D" w:rsidRPr="00FF6BD7">
        <w:rPr>
          <w:rFonts w:ascii="Times New Roman" w:hAnsi="Times New Roman" w:cs="Times New Roman"/>
          <w:bCs/>
          <w:lang w:val="en-US"/>
        </w:rPr>
        <w:t xml:space="preserve">bahwa bank dengan kode BNGA dan BRIS pada periode </w:t>
      </w:r>
      <w:r w:rsidR="00F61FD2" w:rsidRPr="00FF6BD7">
        <w:rPr>
          <w:rFonts w:ascii="Times New Roman" w:hAnsi="Times New Roman" w:cs="Times New Roman"/>
          <w:bCs/>
          <w:lang w:val="en-US"/>
        </w:rPr>
        <w:t xml:space="preserve">2013-2023 masih belum </w:t>
      </w:r>
      <w:r w:rsidR="00F61FD2" w:rsidRPr="00FF6BD7">
        <w:rPr>
          <w:rFonts w:ascii="Times New Roman" w:hAnsi="Times New Roman" w:cs="Times New Roman"/>
          <w:bCs/>
          <w:lang w:val="en-US"/>
        </w:rPr>
        <w:lastRenderedPageBreak/>
        <w:t>maksimal pada awal tahun. Terlihat dari visualisasi yang dihasilkan bahwa titik grafik dimulai pada tahun 2018 untuk bank dengan kode BNGA dan tahun 2019 untuk bank dengan kode BRIS.</w:t>
      </w:r>
    </w:p>
    <w:p w14:paraId="75BAAF77" w14:textId="10432A0C" w:rsidR="005E1F76" w:rsidRPr="00FF6BD7" w:rsidRDefault="005E1F76" w:rsidP="00875FBA">
      <w:pPr>
        <w:spacing w:before="12" w:line="276" w:lineRule="auto"/>
        <w:ind w:right="59"/>
        <w:jc w:val="both"/>
        <w:rPr>
          <w:sz w:val="22"/>
          <w:szCs w:val="22"/>
        </w:rPr>
      </w:pPr>
      <w:r w:rsidRPr="00FF6BD7">
        <w:rPr>
          <w:b/>
        </w:rPr>
        <w:t>KESIMPULAN</w:t>
      </w:r>
      <w:r w:rsidR="00224970" w:rsidRPr="00FF6BD7">
        <w:rPr>
          <w:b/>
        </w:rPr>
        <w:t xml:space="preserve"> DAN SARAN</w:t>
      </w:r>
    </w:p>
    <w:p w14:paraId="237CCBA3" w14:textId="59AA2CD3" w:rsidR="00EC48ED" w:rsidRPr="00FF6BD7" w:rsidRDefault="00487257"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Da</w:t>
      </w:r>
      <w:r w:rsidR="00AE3CC3" w:rsidRPr="00FF6BD7">
        <w:rPr>
          <w:rFonts w:ascii="Times New Roman" w:hAnsi="Times New Roman" w:cs="Times New Roman"/>
          <w:lang w:val="en-US"/>
        </w:rPr>
        <w:t>ri</w:t>
      </w:r>
      <w:r w:rsidR="00F61FD2" w:rsidRPr="00FF6BD7">
        <w:rPr>
          <w:rFonts w:ascii="Times New Roman" w:hAnsi="Times New Roman" w:cs="Times New Roman"/>
          <w:lang w:val="en-US"/>
        </w:rPr>
        <w:t xml:space="preserve"> </w:t>
      </w:r>
      <w:r w:rsidR="00561E69" w:rsidRPr="00FF6BD7">
        <w:rPr>
          <w:rFonts w:ascii="Times New Roman" w:hAnsi="Times New Roman" w:cs="Times New Roman"/>
          <w:lang w:val="en-US"/>
        </w:rPr>
        <w:t xml:space="preserve">tahapan </w:t>
      </w:r>
      <w:r w:rsidR="00F61FD2" w:rsidRPr="00FF6BD7">
        <w:rPr>
          <w:rFonts w:ascii="Times New Roman" w:hAnsi="Times New Roman" w:cs="Times New Roman"/>
          <w:lang w:val="en-US"/>
        </w:rPr>
        <w:t>analisis yang telah dilakukan pada penelitian ini menghasilkan rekomendasi yang dapat digunakan oleh investor sebagai bahan rujukan dalam memilih bank yang akan menjadi tempat penanaman saham agar mendapatkan keuntungan dividen yang maksimal. Diantara bank-bank yang menjadi sampel dalam penelitian ini, terdapat dua bank yang direkomendasikan yaitu bank dengan kode BBCA dan bank dengan kode BMRI.</w:t>
      </w:r>
    </w:p>
    <w:p w14:paraId="0A342656" w14:textId="2B010DD7" w:rsidR="00F61FD2" w:rsidRPr="00FF6BD7" w:rsidRDefault="00F61FD2"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 xml:space="preserve">Bank dengan kode BBCA, yaitu </w:t>
      </w:r>
      <w:r w:rsidR="00185F3B" w:rsidRPr="00FF6BD7">
        <w:rPr>
          <w:rFonts w:ascii="Times New Roman" w:hAnsi="Times New Roman" w:cs="Times New Roman"/>
          <w:lang w:val="en-US"/>
        </w:rPr>
        <w:t xml:space="preserve">PT. </w:t>
      </w:r>
      <w:r w:rsidRPr="00FF6BD7">
        <w:rPr>
          <w:rFonts w:ascii="Times New Roman" w:hAnsi="Times New Roman" w:cs="Times New Roman"/>
          <w:lang w:val="en-US"/>
        </w:rPr>
        <w:t>Bank Asia Central Tbk., me</w:t>
      </w:r>
      <w:r w:rsidR="00185F3B" w:rsidRPr="00FF6BD7">
        <w:rPr>
          <w:rFonts w:ascii="Times New Roman" w:hAnsi="Times New Roman" w:cs="Times New Roman"/>
          <w:lang w:val="en-US"/>
        </w:rPr>
        <w:t>nerapkan</w:t>
      </w:r>
      <w:r w:rsidRPr="00FF6BD7">
        <w:rPr>
          <w:rFonts w:ascii="Times New Roman" w:hAnsi="Times New Roman" w:cs="Times New Roman"/>
          <w:lang w:val="en-US"/>
        </w:rPr>
        <w:t xml:space="preserve"> mekanisme pembagian dividen yang lengkap dan penuh</w:t>
      </w:r>
      <w:r w:rsidR="00185F3B" w:rsidRPr="00FF6BD7">
        <w:rPr>
          <w:rFonts w:ascii="Times New Roman" w:hAnsi="Times New Roman" w:cs="Times New Roman"/>
          <w:lang w:val="en-US"/>
        </w:rPr>
        <w:t xml:space="preserve"> yaitu Final dan Interim setiap tahunnya dalam periode 2013-2023. Hal ini menunjukan bahwa bank tersebut memiliki tingkat profitabilitas yang tinggi untuk setiap tahunnya. adanya pembagian dividen Interim dan Final juga sangat cocok dipilih oleh investor yang akan melakukan investasi jangka panjang dan jangka pendek. Selanjutnya bank dengan kode BMRI, yaitu PT. Bank Mandiri (Persero) Tbk., memiliki rata-rata harga dividen yang lebih tinggi daripada bank-bank lain. Grafik perubahan harga dividen per lembar yang dihasilkan memberikan informasi bahwa bank tersebut memiliki tingkat profitabilitas yang stabil dari tahun ke tahun pada periode 2013-2023. Adapun pada beberapa waktu bank tersebut mengalami penurunan harga dividen, namun seterusnya dapat memulihkan kembali</w:t>
      </w:r>
      <w:r w:rsidR="00FA4A29" w:rsidRPr="00FF6BD7">
        <w:rPr>
          <w:rFonts w:ascii="Times New Roman" w:hAnsi="Times New Roman" w:cs="Times New Roman"/>
          <w:lang w:val="en-US"/>
        </w:rPr>
        <w:t xml:space="preserve"> rata-rata dividen per lembar yang diberikan kepada investor.</w:t>
      </w:r>
    </w:p>
    <w:p w14:paraId="1E2E2961" w14:textId="70E93613" w:rsidR="001A01D0" w:rsidRPr="00FF6BD7" w:rsidRDefault="001A01D0" w:rsidP="00625DE1">
      <w:pPr>
        <w:pStyle w:val="ListParagraph"/>
        <w:spacing w:before="12" w:line="276" w:lineRule="auto"/>
        <w:ind w:left="0" w:right="59" w:firstLine="426"/>
        <w:jc w:val="both"/>
        <w:rPr>
          <w:rFonts w:ascii="Times New Roman" w:hAnsi="Times New Roman" w:cs="Times New Roman"/>
          <w:lang w:val="en-US"/>
        </w:rPr>
      </w:pPr>
      <w:r w:rsidRPr="00FF6BD7">
        <w:rPr>
          <w:rFonts w:ascii="Times New Roman" w:hAnsi="Times New Roman" w:cs="Times New Roman"/>
          <w:lang w:val="en-US"/>
        </w:rPr>
        <w:t xml:space="preserve">Saran untuk penelitian selanjutnya yaitu diharapkan analisis dilakukan tidak hanya berdasarkan pada keuntungan dividen, namun juga didasarkan pada keuntungan </w:t>
      </w:r>
      <w:r w:rsidRPr="00FF6BD7">
        <w:rPr>
          <w:rFonts w:ascii="Times New Roman" w:hAnsi="Times New Roman" w:cs="Times New Roman"/>
          <w:i/>
          <w:iCs/>
          <w:lang w:val="en-US"/>
        </w:rPr>
        <w:t>Capital Gain</w:t>
      </w:r>
      <w:r w:rsidRPr="00FF6BD7">
        <w:rPr>
          <w:rFonts w:ascii="Times New Roman" w:hAnsi="Times New Roman" w:cs="Times New Roman"/>
          <w:lang w:val="en-US"/>
        </w:rPr>
        <w:t>. Adanya penambahan instrumen diharapkan dapat lebih memberikan rujukan yang meyakinkan kepada investor untuk melakukan investasi pada bank yang direkomendasikan.</w:t>
      </w:r>
    </w:p>
    <w:p w14:paraId="1FE07F1B" w14:textId="77777777" w:rsidR="00950BFB" w:rsidRPr="00FF6BD7" w:rsidRDefault="00950BFB" w:rsidP="00EC48ED">
      <w:pPr>
        <w:pStyle w:val="ListParagraph"/>
        <w:spacing w:before="12" w:line="276" w:lineRule="auto"/>
        <w:ind w:left="0" w:right="59"/>
        <w:jc w:val="both"/>
        <w:rPr>
          <w:rFonts w:ascii="Times New Roman" w:hAnsi="Times New Roman" w:cs="Times New Roman"/>
          <w:lang w:val="en-US"/>
        </w:rPr>
      </w:pPr>
    </w:p>
    <w:p w14:paraId="062B8B47" w14:textId="2CFEA780" w:rsidR="00561E69" w:rsidRPr="00FF6BD7" w:rsidRDefault="00BD3581" w:rsidP="005555FB">
      <w:pPr>
        <w:pStyle w:val="ListParagraph"/>
        <w:spacing w:before="240" w:after="0" w:line="276" w:lineRule="auto"/>
        <w:ind w:left="0" w:right="59"/>
        <w:jc w:val="both"/>
        <w:rPr>
          <w:rFonts w:ascii="Times New Roman" w:hAnsi="Times New Roman" w:cs="Times New Roman"/>
          <w:b/>
        </w:rPr>
      </w:pPr>
      <w:r w:rsidRPr="00FF6BD7">
        <w:rPr>
          <w:rFonts w:ascii="Times New Roman" w:hAnsi="Times New Roman" w:cs="Times New Roman"/>
          <w:b/>
        </w:rPr>
        <w:t>DAFTAR PUSTAKA</w:t>
      </w:r>
    </w:p>
    <w:p w14:paraId="2DD3ED65" w14:textId="670B0654"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b/>
        </w:rPr>
        <w:fldChar w:fldCharType="begin" w:fldLock="1"/>
      </w:r>
      <w:r w:rsidRPr="00FF6BD7">
        <w:rPr>
          <w:b/>
        </w:rPr>
        <w:instrText xml:space="preserve">ADDIN Mendeley Bibliography CSL_BIBLIOGRAPHY </w:instrText>
      </w:r>
      <w:r w:rsidRPr="00FF6BD7">
        <w:rPr>
          <w:b/>
        </w:rPr>
        <w:fldChar w:fldCharType="separate"/>
      </w:r>
      <w:r w:rsidRPr="00FF6BD7">
        <w:rPr>
          <w:noProof/>
          <w:sz w:val="22"/>
          <w:szCs w:val="24"/>
        </w:rPr>
        <w:t xml:space="preserve">(KSEI), P. K. S. E. I. (2022). </w:t>
      </w:r>
      <w:r w:rsidRPr="00FF6BD7">
        <w:rPr>
          <w:i/>
          <w:iCs/>
          <w:noProof/>
          <w:sz w:val="22"/>
          <w:szCs w:val="24"/>
        </w:rPr>
        <w:t>Berita Pers: Investor Pasar Modal Tembus 10 Juta</w:t>
      </w:r>
      <w:r w:rsidRPr="00FF6BD7">
        <w:rPr>
          <w:noProof/>
          <w:sz w:val="22"/>
          <w:szCs w:val="24"/>
        </w:rPr>
        <w:t>. Www.Ksei.Co.Id. https://www.ksei.co.id/publication/press-releases</w:t>
      </w:r>
    </w:p>
    <w:p w14:paraId="36470858"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Bursa Efek Indonesia. (2022). </w:t>
      </w:r>
      <w:r w:rsidRPr="00FF6BD7">
        <w:rPr>
          <w:i/>
          <w:iCs/>
          <w:noProof/>
          <w:sz w:val="22"/>
          <w:szCs w:val="24"/>
        </w:rPr>
        <w:t>Saham</w:t>
      </w:r>
      <w:r w:rsidRPr="00FF6BD7">
        <w:rPr>
          <w:noProof/>
          <w:sz w:val="22"/>
          <w:szCs w:val="24"/>
        </w:rPr>
        <w:t>. Www.Idx.Co.Id. https://www.idx.co.id/id/produk/saham/</w:t>
      </w:r>
    </w:p>
    <w:p w14:paraId="5E17EAD7"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Firmansyah, A., Rokhman, M. T. N., Firdaus, R., &amp; Malang, U. W. (2018). Pengaruh Tingkat Keuntungan Dan Pendapatan Saham Terhadap Harga Saham (Studi Pada Perusahaan Perbankan Swasta Yang Go Public Dan Terdaftar Di Bei). </w:t>
      </w:r>
      <w:r w:rsidRPr="00FF6BD7">
        <w:rPr>
          <w:i/>
          <w:iCs/>
          <w:noProof/>
          <w:sz w:val="22"/>
          <w:szCs w:val="24"/>
        </w:rPr>
        <w:t>Universitas Wisnuwardhana Press</w:t>
      </w:r>
      <w:r w:rsidRPr="00FF6BD7">
        <w:rPr>
          <w:noProof/>
          <w:sz w:val="22"/>
          <w:szCs w:val="24"/>
        </w:rPr>
        <w:t xml:space="preserve">, </w:t>
      </w:r>
      <w:r w:rsidRPr="00FF6BD7">
        <w:rPr>
          <w:i/>
          <w:iCs/>
          <w:noProof/>
          <w:sz w:val="22"/>
          <w:szCs w:val="24"/>
        </w:rPr>
        <w:t>1</w:t>
      </w:r>
      <w:r w:rsidRPr="00FF6BD7">
        <w:rPr>
          <w:noProof/>
          <w:sz w:val="22"/>
          <w:szCs w:val="24"/>
        </w:rPr>
        <w:t>(1), 1–7.</w:t>
      </w:r>
    </w:p>
    <w:p w14:paraId="56990FE6"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Hairul, I., &amp; A. (2022). Valuasi Saham dengan Dividend Discount Model ( DDM ) dan Price Earning Ratio ( PER ) untuk Pengambilan Keputusan Investasi ( Studi Kasus pada Perusahaan Sub Sektor Makanan. </w:t>
      </w:r>
      <w:r w:rsidRPr="00FF6BD7">
        <w:rPr>
          <w:i/>
          <w:iCs/>
          <w:noProof/>
          <w:sz w:val="22"/>
          <w:szCs w:val="24"/>
        </w:rPr>
        <w:t>Selekta Manajemen: Jurnal Mahasiswa Bisnis &amp; Manajemen</w:t>
      </w:r>
      <w:r w:rsidRPr="00FF6BD7">
        <w:rPr>
          <w:noProof/>
          <w:sz w:val="22"/>
          <w:szCs w:val="24"/>
        </w:rPr>
        <w:t xml:space="preserve">, </w:t>
      </w:r>
      <w:r w:rsidRPr="00FF6BD7">
        <w:rPr>
          <w:i/>
          <w:iCs/>
          <w:noProof/>
          <w:sz w:val="22"/>
          <w:szCs w:val="24"/>
        </w:rPr>
        <w:t>01</w:t>
      </w:r>
      <w:r w:rsidRPr="00FF6BD7">
        <w:rPr>
          <w:noProof/>
          <w:sz w:val="22"/>
          <w:szCs w:val="24"/>
        </w:rPr>
        <w:t>(06), 123–134. https://journal.uii.ac.id/selma/index</w:t>
      </w:r>
    </w:p>
    <w:p w14:paraId="4903C392"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Lestari, V. (2021). </w:t>
      </w:r>
      <w:r w:rsidRPr="00FF6BD7">
        <w:rPr>
          <w:i/>
          <w:iCs/>
          <w:noProof/>
          <w:sz w:val="22"/>
          <w:szCs w:val="24"/>
        </w:rPr>
        <w:t>Mengenal Apa Itu Visualisasi Data?</w:t>
      </w:r>
      <w:r w:rsidRPr="00FF6BD7">
        <w:rPr>
          <w:noProof/>
          <w:sz w:val="22"/>
          <w:szCs w:val="24"/>
        </w:rPr>
        <w:t xml:space="preserve"> Https://Eksplorasidata.Mipa.Ugm.Ac.Id/. https://eksplorasidata.mipa.ugm.ac.id/2021/08/20/mengenal-apa-itu-visualisasi-data/</w:t>
      </w:r>
    </w:p>
    <w:p w14:paraId="307289C9"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Lisa Kustina, Otika Safitri, &amp; Samsul Anwar. (2019). Kebijakan Deviden Dan Capital Gain: Pengaruhnya Terhadap Harga Saham. </w:t>
      </w:r>
      <w:r w:rsidRPr="00FF6BD7">
        <w:rPr>
          <w:i/>
          <w:iCs/>
          <w:noProof/>
          <w:sz w:val="22"/>
          <w:szCs w:val="24"/>
        </w:rPr>
        <w:t>Jurnal Investasi</w:t>
      </w:r>
      <w:r w:rsidRPr="00FF6BD7">
        <w:rPr>
          <w:noProof/>
          <w:sz w:val="22"/>
          <w:szCs w:val="24"/>
        </w:rPr>
        <w:t xml:space="preserve">, </w:t>
      </w:r>
      <w:r w:rsidRPr="00FF6BD7">
        <w:rPr>
          <w:i/>
          <w:iCs/>
          <w:noProof/>
          <w:sz w:val="22"/>
          <w:szCs w:val="24"/>
        </w:rPr>
        <w:t>5</w:t>
      </w:r>
      <w:r w:rsidRPr="00FF6BD7">
        <w:rPr>
          <w:noProof/>
          <w:sz w:val="22"/>
          <w:szCs w:val="24"/>
        </w:rPr>
        <w:t>(1), 24–37. https://doi.org/10.31943/investasi.v5i1.16</w:t>
      </w:r>
    </w:p>
    <w:p w14:paraId="351CC461"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lastRenderedPageBreak/>
        <w:t xml:space="preserve">Lubis, M. H. R., &amp; Kusuma, I. G. K. C. B. A. (2022). Analisis Pertumbuhan Investor Ritel Pada Masa Pandemi Dan Implikasi Pajak Penghasilan Final Atas Penjualan Saham Di Bursa. </w:t>
      </w:r>
      <w:r w:rsidRPr="00FF6BD7">
        <w:rPr>
          <w:i/>
          <w:iCs/>
          <w:noProof/>
          <w:sz w:val="22"/>
          <w:szCs w:val="24"/>
        </w:rPr>
        <w:t>JURNAL PAJAK INDONESIA (Indonesian Tax Review)</w:t>
      </w:r>
      <w:r w:rsidRPr="00FF6BD7">
        <w:rPr>
          <w:noProof/>
          <w:sz w:val="22"/>
          <w:szCs w:val="24"/>
        </w:rPr>
        <w:t xml:space="preserve">, </w:t>
      </w:r>
      <w:r w:rsidRPr="00FF6BD7">
        <w:rPr>
          <w:i/>
          <w:iCs/>
          <w:noProof/>
          <w:sz w:val="22"/>
          <w:szCs w:val="24"/>
        </w:rPr>
        <w:t>6</w:t>
      </w:r>
      <w:r w:rsidRPr="00FF6BD7">
        <w:rPr>
          <w:noProof/>
          <w:sz w:val="22"/>
          <w:szCs w:val="24"/>
        </w:rPr>
        <w:t>(2), 245–264. https://doi.org/10.31092/jpi.v6i2.1854</w:t>
      </w:r>
    </w:p>
    <w:p w14:paraId="2BA68758"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Partomuan, F. T. (2021). Pengaruh Cr, Der Dan Roe Terhadap Harga Saham Pada Perusahaan Sub Sektor Konstruksi Yang Terdaftar Di Indeks Idx Value 30 Periode 2015-2019. </w:t>
      </w:r>
      <w:r w:rsidRPr="00FF6BD7">
        <w:rPr>
          <w:i/>
          <w:iCs/>
          <w:noProof/>
          <w:sz w:val="22"/>
          <w:szCs w:val="24"/>
        </w:rPr>
        <w:t>JIMEN Jurnal Inovatif Mahasiswa Manajemen</w:t>
      </w:r>
      <w:r w:rsidRPr="00FF6BD7">
        <w:rPr>
          <w:noProof/>
          <w:sz w:val="22"/>
          <w:szCs w:val="24"/>
        </w:rPr>
        <w:t xml:space="preserve">, </w:t>
      </w:r>
      <w:r w:rsidRPr="00FF6BD7">
        <w:rPr>
          <w:i/>
          <w:iCs/>
          <w:noProof/>
          <w:sz w:val="22"/>
          <w:szCs w:val="24"/>
        </w:rPr>
        <w:t>1</w:t>
      </w:r>
      <w:r w:rsidRPr="00FF6BD7">
        <w:rPr>
          <w:noProof/>
          <w:sz w:val="22"/>
          <w:szCs w:val="24"/>
        </w:rPr>
        <w:t>(3), 242–255. www.idx.co.id</w:t>
      </w:r>
    </w:p>
    <w:p w14:paraId="2EA30719"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Rorizki, F., Sakinah, S., Dalimunthe, A., &amp; Silalahi, P. R. (2022). Perkembangan dan Tantangan Pasar Modal Indonesia. </w:t>
      </w:r>
      <w:r w:rsidRPr="00FF6BD7">
        <w:rPr>
          <w:i/>
          <w:iCs/>
          <w:noProof/>
          <w:sz w:val="22"/>
          <w:szCs w:val="24"/>
        </w:rPr>
        <w:t>Economic Reviews Journal</w:t>
      </w:r>
      <w:r w:rsidRPr="00FF6BD7">
        <w:rPr>
          <w:noProof/>
          <w:sz w:val="22"/>
          <w:szCs w:val="24"/>
        </w:rPr>
        <w:t xml:space="preserve">, </w:t>
      </w:r>
      <w:r w:rsidRPr="00FF6BD7">
        <w:rPr>
          <w:i/>
          <w:iCs/>
          <w:noProof/>
          <w:sz w:val="22"/>
          <w:szCs w:val="24"/>
        </w:rPr>
        <w:t>1</w:t>
      </w:r>
      <w:r w:rsidRPr="00FF6BD7">
        <w:rPr>
          <w:noProof/>
          <w:sz w:val="22"/>
          <w:szCs w:val="24"/>
        </w:rPr>
        <w:t>(2), 147–157. https://doi.org/10.56709/mrj.v1i2.24</w:t>
      </w:r>
    </w:p>
    <w:p w14:paraId="3F54128A"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Supartoyo, Y. H., Juanda, B., Firdaus, M., &amp; Effendi, J. (2018). Pengaruh Sektor Keuangan Bank Perkreditan Rakyat terhadap Perekonomian Regional Wilayah Sulawesi. </w:t>
      </w:r>
      <w:r w:rsidRPr="00FF6BD7">
        <w:rPr>
          <w:i/>
          <w:iCs/>
          <w:noProof/>
          <w:sz w:val="22"/>
          <w:szCs w:val="24"/>
        </w:rPr>
        <w:t>Kajian Ekonomi Dan Keuangan</w:t>
      </w:r>
      <w:r w:rsidRPr="00FF6BD7">
        <w:rPr>
          <w:noProof/>
          <w:sz w:val="22"/>
          <w:szCs w:val="24"/>
        </w:rPr>
        <w:t xml:space="preserve">, </w:t>
      </w:r>
      <w:r w:rsidRPr="00FF6BD7">
        <w:rPr>
          <w:i/>
          <w:iCs/>
          <w:noProof/>
          <w:sz w:val="22"/>
          <w:szCs w:val="24"/>
        </w:rPr>
        <w:t>2</w:t>
      </w:r>
      <w:r w:rsidRPr="00FF6BD7">
        <w:rPr>
          <w:noProof/>
          <w:sz w:val="22"/>
          <w:szCs w:val="24"/>
        </w:rPr>
        <w:t>(1), 15–38. https://doi.org/10.31685/kek.v2i1.207</w:t>
      </w:r>
    </w:p>
    <w:p w14:paraId="1758046A" w14:textId="77777777" w:rsidR="005169B0" w:rsidRPr="00FF6BD7" w:rsidRDefault="005169B0" w:rsidP="00313C4F">
      <w:pPr>
        <w:widowControl w:val="0"/>
        <w:autoSpaceDE w:val="0"/>
        <w:autoSpaceDN w:val="0"/>
        <w:adjustRightInd w:val="0"/>
        <w:spacing w:before="240"/>
        <w:ind w:left="480" w:hanging="480"/>
        <w:jc w:val="both"/>
        <w:rPr>
          <w:noProof/>
          <w:sz w:val="22"/>
          <w:szCs w:val="24"/>
        </w:rPr>
      </w:pPr>
      <w:r w:rsidRPr="00FF6BD7">
        <w:rPr>
          <w:noProof/>
          <w:sz w:val="22"/>
          <w:szCs w:val="24"/>
        </w:rPr>
        <w:t xml:space="preserve">Utami, V. W., &amp; Kartika, R. (2020). Investasi Saham pada Sektor Perbankan adalah Pilihan yang Tepat Bagi Investor di Pasar Modal. </w:t>
      </w:r>
      <w:r w:rsidRPr="00FF6BD7">
        <w:rPr>
          <w:i/>
          <w:iCs/>
          <w:noProof/>
          <w:sz w:val="22"/>
          <w:szCs w:val="24"/>
        </w:rPr>
        <w:t>Jurnal Sains Sosio Humaniora</w:t>
      </w:r>
      <w:r w:rsidRPr="00FF6BD7">
        <w:rPr>
          <w:noProof/>
          <w:sz w:val="22"/>
          <w:szCs w:val="24"/>
        </w:rPr>
        <w:t xml:space="preserve">, </w:t>
      </w:r>
      <w:r w:rsidRPr="00FF6BD7">
        <w:rPr>
          <w:i/>
          <w:iCs/>
          <w:noProof/>
          <w:sz w:val="22"/>
          <w:szCs w:val="24"/>
        </w:rPr>
        <w:t>4</w:t>
      </w:r>
      <w:r w:rsidRPr="00FF6BD7">
        <w:rPr>
          <w:noProof/>
          <w:sz w:val="22"/>
          <w:szCs w:val="24"/>
        </w:rPr>
        <w:t>, 1–23.</w:t>
      </w:r>
    </w:p>
    <w:p w14:paraId="26AE068A" w14:textId="77777777" w:rsidR="005169B0" w:rsidRPr="00FF6BD7" w:rsidRDefault="005169B0" w:rsidP="00313C4F">
      <w:pPr>
        <w:widowControl w:val="0"/>
        <w:autoSpaceDE w:val="0"/>
        <w:autoSpaceDN w:val="0"/>
        <w:adjustRightInd w:val="0"/>
        <w:spacing w:before="240"/>
        <w:ind w:left="480" w:hanging="480"/>
        <w:jc w:val="both"/>
        <w:rPr>
          <w:noProof/>
          <w:sz w:val="22"/>
        </w:rPr>
      </w:pPr>
      <w:r w:rsidRPr="00FF6BD7">
        <w:rPr>
          <w:noProof/>
          <w:sz w:val="22"/>
          <w:szCs w:val="24"/>
        </w:rPr>
        <w:t xml:space="preserve">Verina, V., &amp; Cuandra, F. (2022). Analisis Tingkat Kesehatan dan Tingkat Pengembalian Saham Perbankan. </w:t>
      </w:r>
      <w:r w:rsidRPr="00FF6BD7">
        <w:rPr>
          <w:i/>
          <w:iCs/>
          <w:noProof/>
          <w:sz w:val="22"/>
          <w:szCs w:val="24"/>
        </w:rPr>
        <w:t>SEIKO: Journal of Management \&amp; …</w:t>
      </w:r>
      <w:r w:rsidRPr="00FF6BD7">
        <w:rPr>
          <w:noProof/>
          <w:sz w:val="22"/>
          <w:szCs w:val="24"/>
        </w:rPr>
        <w:t xml:space="preserve">, </w:t>
      </w:r>
      <w:r w:rsidRPr="00FF6BD7">
        <w:rPr>
          <w:i/>
          <w:iCs/>
          <w:noProof/>
          <w:sz w:val="22"/>
          <w:szCs w:val="24"/>
        </w:rPr>
        <w:t>5</w:t>
      </w:r>
      <w:r w:rsidRPr="00FF6BD7">
        <w:rPr>
          <w:noProof/>
          <w:sz w:val="22"/>
          <w:szCs w:val="24"/>
        </w:rPr>
        <w:t>(1), 188–197. https://doi.org/10.37531/sejaman.v5i1.1542</w:t>
      </w:r>
    </w:p>
    <w:p w14:paraId="74CDD344" w14:textId="025DE446" w:rsidR="005169B0" w:rsidRPr="005555FB" w:rsidRDefault="005169B0" w:rsidP="00313C4F">
      <w:pPr>
        <w:pStyle w:val="ListParagraph"/>
        <w:spacing w:before="240" w:after="0" w:line="276" w:lineRule="auto"/>
        <w:ind w:left="0" w:right="59"/>
        <w:jc w:val="both"/>
        <w:rPr>
          <w:rFonts w:ascii="Times New Roman" w:hAnsi="Times New Roman" w:cs="Times New Roman"/>
          <w:b/>
        </w:rPr>
        <w:sectPr w:rsidR="005169B0" w:rsidRPr="005555FB" w:rsidSect="002739C8">
          <w:pgSz w:w="11920" w:h="16840"/>
          <w:pgMar w:top="1134" w:right="1300" w:bottom="280" w:left="1600" w:header="680" w:footer="720" w:gutter="0"/>
          <w:cols w:num="2" w:space="720" w:equalWidth="0">
            <w:col w:w="4145" w:space="705"/>
            <w:col w:w="4170"/>
          </w:cols>
          <w:docGrid w:linePitch="272"/>
        </w:sectPr>
      </w:pPr>
      <w:r w:rsidRPr="00FF6BD7">
        <w:rPr>
          <w:rFonts w:ascii="Times New Roman" w:hAnsi="Times New Roman" w:cs="Times New Roman"/>
          <w:b/>
        </w:rPr>
        <w:fldChar w:fldCharType="end"/>
      </w:r>
    </w:p>
    <w:p w14:paraId="7C42E3D5" w14:textId="77777777" w:rsidR="00154698" w:rsidRDefault="00154698" w:rsidP="00313C4F">
      <w:pPr>
        <w:spacing w:before="33" w:line="276" w:lineRule="auto"/>
        <w:ind w:right="3147"/>
        <w:jc w:val="both"/>
      </w:pPr>
    </w:p>
    <w:sectPr w:rsidR="00154698">
      <w:footerReference w:type="default" r:id="rId18"/>
      <w:type w:val="continuous"/>
      <w:pgSz w:w="11920" w:h="16840"/>
      <w:pgMar w:top="940" w:right="1300" w:bottom="280" w:left="1600" w:header="720" w:footer="720" w:gutter="0"/>
      <w:cols w:num="2" w:space="720" w:equalWidth="0">
        <w:col w:w="4145" w:space="706"/>
        <w:col w:w="4169"/>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FDC62" w14:textId="77777777" w:rsidR="00EA299A" w:rsidRDefault="00EA299A">
      <w:r>
        <w:separator/>
      </w:r>
    </w:p>
  </w:endnote>
  <w:endnote w:type="continuationSeparator" w:id="0">
    <w:p w14:paraId="568DD404" w14:textId="77777777" w:rsidR="00EA299A" w:rsidRDefault="00EA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132746"/>
      <w:docPartObj>
        <w:docPartGallery w:val="Page Numbers (Bottom of Page)"/>
        <w:docPartUnique/>
      </w:docPartObj>
    </w:sdtPr>
    <w:sdtEndPr>
      <w:rPr>
        <w:noProof/>
        <w:sz w:val="22"/>
      </w:rPr>
    </w:sdtEndPr>
    <w:sdtContent>
      <w:p w14:paraId="60E80196" w14:textId="27378753" w:rsidR="00B67B79" w:rsidRPr="00B67B79" w:rsidRDefault="00B67B79">
        <w:pPr>
          <w:pStyle w:val="Footer"/>
          <w:jc w:val="center"/>
          <w:rPr>
            <w:sz w:val="22"/>
          </w:rPr>
        </w:pPr>
        <w:r w:rsidRPr="00B67B79">
          <w:rPr>
            <w:sz w:val="22"/>
          </w:rPr>
          <w:fldChar w:fldCharType="begin"/>
        </w:r>
        <w:r w:rsidRPr="00B67B79">
          <w:rPr>
            <w:sz w:val="22"/>
          </w:rPr>
          <w:instrText xml:space="preserve"> PAGE   \* MERGEFORMAT </w:instrText>
        </w:r>
        <w:r w:rsidRPr="00B67B79">
          <w:rPr>
            <w:sz w:val="22"/>
          </w:rPr>
          <w:fldChar w:fldCharType="separate"/>
        </w:r>
        <w:r>
          <w:rPr>
            <w:noProof/>
            <w:sz w:val="22"/>
          </w:rPr>
          <w:t>81</w:t>
        </w:r>
        <w:r w:rsidRPr="00B67B79">
          <w:rPr>
            <w:noProof/>
            <w:sz w:val="22"/>
          </w:rPr>
          <w:fldChar w:fldCharType="end"/>
        </w:r>
      </w:p>
    </w:sdtContent>
  </w:sdt>
  <w:p w14:paraId="64766877" w14:textId="296690CB" w:rsidR="00D75BDD" w:rsidRDefault="00D75BDD">
    <w:pPr>
      <w:spacing w:line="200"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4B4DD" w14:textId="77777777" w:rsidR="00D75BDD" w:rsidRDefault="00EA299A">
    <w:pPr>
      <w:spacing w:line="200" w:lineRule="exact"/>
    </w:pPr>
    <w:r>
      <w:pict w14:anchorId="299E4979">
        <v:shapetype id="_x0000_t202" coordsize="21600,21600" o:spt="202" path="m,l,21600r21600,l21600,xe">
          <v:stroke joinstyle="miter"/>
          <v:path gradientshapeok="t" o:connecttype="rect"/>
        </v:shapetype>
        <v:shape id="_x0000_s2049" type="#_x0000_t202" style="position:absolute;margin-left:297.35pt;margin-top:793.4pt;width:15.05pt;height:13.05pt;z-index:-251659776;mso-position-horizontal-relative:page;mso-position-vertical-relative:page" filled="f" stroked="f">
          <v:textbox style="mso-next-textbox:#_x0000_s2049" inset="0,0,0,0">
            <w:txbxContent>
              <w:p w14:paraId="2582A2AB" w14:textId="77777777" w:rsidR="00D75BDD" w:rsidRDefault="00D75BDD">
                <w:pPr>
                  <w:spacing w:line="240" w:lineRule="exact"/>
                  <w:ind w:left="40"/>
                  <w:rPr>
                    <w:sz w:val="22"/>
                    <w:szCs w:val="22"/>
                  </w:rPr>
                </w:pPr>
                <w:r>
                  <w:fldChar w:fldCharType="begin"/>
                </w:r>
                <w:r>
                  <w:rPr>
                    <w:color w:val="4471C4"/>
                    <w:sz w:val="22"/>
                    <w:szCs w:val="22"/>
                  </w:rPr>
                  <w:instrText xml:space="preserve"> PAGE </w:instrText>
                </w:r>
                <w:r>
                  <w:fldChar w:fldCharType="separate"/>
                </w:r>
                <w:r w:rsidR="00D64C19">
                  <w:rPr>
                    <w:noProof/>
                    <w:color w:val="4471C4"/>
                    <w:sz w:val="22"/>
                    <w:szCs w:val="22"/>
                  </w:rP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0BF7" w14:textId="77777777" w:rsidR="00EA299A" w:rsidRDefault="00EA299A">
      <w:r>
        <w:separator/>
      </w:r>
    </w:p>
  </w:footnote>
  <w:footnote w:type="continuationSeparator" w:id="0">
    <w:p w14:paraId="256CC1F2" w14:textId="77777777" w:rsidR="00EA299A" w:rsidRDefault="00EA2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67CA" w14:textId="77777777" w:rsidR="002739C8" w:rsidRDefault="002739C8" w:rsidP="002739C8">
    <w:pPr>
      <w:pStyle w:val="Header"/>
    </w:pPr>
    <w:r>
      <w:rPr>
        <w:noProof/>
      </w:rPr>
      <mc:AlternateContent>
        <mc:Choice Requires="wps">
          <w:drawing>
            <wp:anchor distT="0" distB="0" distL="114300" distR="114300" simplePos="0" relativeHeight="251658752" behindDoc="1" locked="0" layoutInCell="1" allowOverlap="1" wp14:anchorId="446599CF" wp14:editId="08CA638F">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6C742" w14:textId="77777777" w:rsidR="002739C8" w:rsidRDefault="002739C8" w:rsidP="002739C8">
                          <w:pPr>
                            <w:spacing w:line="221" w:lineRule="exact"/>
                            <w:ind w:left="20"/>
                            <w:rPr>
                              <w:i/>
                            </w:rPr>
                          </w:pPr>
                          <w:r>
                            <w:rPr>
                              <w:i/>
                              <w:spacing w:val="-1"/>
                              <w:w w:val="90"/>
                            </w:rPr>
                            <w:t>Jurnal</w:t>
                          </w:r>
                          <w:r>
                            <w:rPr>
                              <w:i/>
                              <w:spacing w:val="-7"/>
                              <w:w w:val="90"/>
                            </w:rPr>
                            <w:t xml:space="preserve"> </w:t>
                          </w:r>
                          <w:r>
                            <w:rPr>
                              <w:i/>
                              <w:spacing w:val="-1"/>
                              <w:w w:val="90"/>
                            </w:rPr>
                            <w:t>Rekayasa</w:t>
                          </w:r>
                          <w:r>
                            <w:rPr>
                              <w:i/>
                              <w:spacing w:val="-6"/>
                              <w:w w:val="90"/>
                            </w:rPr>
                            <w:t xml:space="preserve"> </w:t>
                          </w:r>
                          <w:r>
                            <w:rPr>
                              <w:i/>
                              <w:w w:val="90"/>
                            </w:rPr>
                            <w:t>Informasi,</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r>
                            <w:rPr>
                              <w:i/>
                              <w:w w:val="90"/>
                            </w:rPr>
                            <w:t>Oktober</w:t>
                          </w:r>
                          <w:r>
                            <w:rPr>
                              <w:i/>
                              <w:spacing w:val="-6"/>
                              <w:w w:val="90"/>
                            </w:rPr>
                            <w:t xml:space="preserve"> </w:t>
                          </w:r>
                          <w:r>
                            <w:rPr>
                              <w:i/>
                              <w:w w:val="9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599CF" id="_x0000_t202" coordsize="21600,21600" o:spt="202" path="m,l,21600r21600,l21600,xe">
              <v:stroke joinstyle="miter"/>
              <v:path gradientshapeok="t" o:connecttype="rect"/>
            </v:shapetype>
            <v:shape id="Text Box 4" o:spid="_x0000_s1026" type="#_x0000_t202" style="position:absolute;margin-left:324.15pt;margin-top:36.15pt;width:210.95pt;height: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2706C742" w14:textId="77777777" w:rsidR="002739C8" w:rsidRDefault="002739C8" w:rsidP="002739C8">
                    <w:pPr>
                      <w:spacing w:line="221" w:lineRule="exact"/>
                      <w:ind w:left="20"/>
                      <w:rPr>
                        <w:i/>
                      </w:rPr>
                    </w:pPr>
                    <w:r>
                      <w:rPr>
                        <w:i/>
                        <w:spacing w:val="-1"/>
                        <w:w w:val="90"/>
                      </w:rPr>
                      <w:t>Jurnal</w:t>
                    </w:r>
                    <w:r>
                      <w:rPr>
                        <w:i/>
                        <w:spacing w:val="-7"/>
                        <w:w w:val="90"/>
                      </w:rPr>
                      <w:t xml:space="preserve"> </w:t>
                    </w:r>
                    <w:r>
                      <w:rPr>
                        <w:i/>
                        <w:spacing w:val="-1"/>
                        <w:w w:val="90"/>
                      </w:rPr>
                      <w:t>Rekayasa</w:t>
                    </w:r>
                    <w:r>
                      <w:rPr>
                        <w:i/>
                        <w:spacing w:val="-6"/>
                        <w:w w:val="90"/>
                      </w:rPr>
                      <w:t xml:space="preserve"> </w:t>
                    </w:r>
                    <w:r>
                      <w:rPr>
                        <w:i/>
                        <w:w w:val="90"/>
                      </w:rPr>
                      <w:t>Informasi,</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r>
                      <w:rPr>
                        <w:i/>
                        <w:w w:val="90"/>
                      </w:rPr>
                      <w:t>Oktober</w:t>
                    </w:r>
                    <w:r>
                      <w:rPr>
                        <w:i/>
                        <w:spacing w:val="-6"/>
                        <w:w w:val="90"/>
                      </w:rPr>
                      <w:t xml:space="preserve"> </w:t>
                    </w:r>
                    <w:r>
                      <w:rPr>
                        <w:i/>
                        <w:w w:val="90"/>
                      </w:rPr>
                      <w:t>2023</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575A11C1" wp14:editId="35680AC8">
              <wp:simplePos x="0" y="0"/>
              <wp:positionH relativeFrom="page">
                <wp:posOffset>1068070</wp:posOffset>
              </wp:positionH>
              <wp:positionV relativeFrom="page">
                <wp:posOffset>457200</wp:posOffset>
              </wp:positionV>
              <wp:extent cx="1986280" cy="163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6F87B" w14:textId="77777777" w:rsidR="002739C8" w:rsidRDefault="002739C8" w:rsidP="002739C8">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r>
                            <w:rPr>
                              <w:b/>
                              <w:i/>
                              <w:w w:val="85"/>
                            </w:rPr>
                            <w:t>dan</w:t>
                          </w:r>
                          <w:r>
                            <w:rPr>
                              <w:b/>
                              <w:i/>
                              <w:spacing w:val="22"/>
                              <w:w w:val="85"/>
                            </w:rPr>
                            <w:t xml:space="preserve"> </w:t>
                          </w:r>
                          <w:r>
                            <w:rPr>
                              <w:b/>
                              <w:i/>
                              <w:w w:val="85"/>
                            </w:rPr>
                            <w:t>p-ISSN</w:t>
                          </w:r>
                          <w:r>
                            <w:rPr>
                              <w:b/>
                              <w:i/>
                              <w:spacing w:val="21"/>
                              <w:w w:val="85"/>
                            </w:rPr>
                            <w:t xml:space="preserve"> </w:t>
                          </w:r>
                          <w:r>
                            <w:rPr>
                              <w:b/>
                              <w:i/>
                              <w:w w:val="85"/>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A11C1" id="Text Box 1" o:spid="_x0000_s1027" type="#_x0000_t202" style="position:absolute;margin-left:84.1pt;margin-top:36pt;width:156.4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26rwIAALA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" filled="f" stroked="f">
              <v:textbox inset="0,0,0,0">
                <w:txbxContent>
                  <w:p w14:paraId="4A16F87B" w14:textId="77777777" w:rsidR="002739C8" w:rsidRDefault="002739C8" w:rsidP="002739C8">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r>
                      <w:rPr>
                        <w:b/>
                        <w:i/>
                        <w:w w:val="85"/>
                      </w:rPr>
                      <w:t>dan</w:t>
                    </w:r>
                    <w:r>
                      <w:rPr>
                        <w:b/>
                        <w:i/>
                        <w:spacing w:val="22"/>
                        <w:w w:val="85"/>
                      </w:rPr>
                      <w:t xml:space="preserve"> </w:t>
                    </w:r>
                    <w:r>
                      <w:rPr>
                        <w:b/>
                        <w:i/>
                        <w:w w:val="85"/>
                      </w:rPr>
                      <w:t>p-ISSN</w:t>
                    </w:r>
                    <w:r>
                      <w:rPr>
                        <w:b/>
                        <w:i/>
                        <w:spacing w:val="21"/>
                        <w:w w:val="85"/>
                      </w:rPr>
                      <w:t xml:space="preserve"> </w:t>
                    </w:r>
                    <w:r>
                      <w:rPr>
                        <w:b/>
                        <w:i/>
                        <w:w w:val="85"/>
                      </w:rPr>
                      <w:t>2252-7354</w:t>
                    </w:r>
                  </w:p>
                </w:txbxContent>
              </v:textbox>
              <w10:wrap anchorx="page" anchory="page"/>
            </v:shape>
          </w:pict>
        </mc:Fallback>
      </mc:AlternateContent>
    </w:r>
  </w:p>
  <w:p w14:paraId="474C9419" w14:textId="2EB5B370" w:rsidR="002739C8" w:rsidRDefault="002739C8">
    <w:pPr>
      <w:pStyle w:val="Header"/>
      <w:jc w:val="center"/>
    </w:pPr>
  </w:p>
  <w:p w14:paraId="32A8D9E9" w14:textId="0BCD6406" w:rsidR="00D75BDD" w:rsidRPr="002739C8" w:rsidRDefault="00D75BDD" w:rsidP="002739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484"/>
    <w:multiLevelType w:val="hybridMultilevel"/>
    <w:tmpl w:val="F2AC4C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715D84"/>
    <w:multiLevelType w:val="hybridMultilevel"/>
    <w:tmpl w:val="94BEDEC8"/>
    <w:lvl w:ilvl="0" w:tplc="23F4C9C0">
      <w:start w:val="1"/>
      <w:numFmt w:val="lowerLetter"/>
      <w:lvlText w:val="%1."/>
      <w:lvlJc w:val="left"/>
      <w:pPr>
        <w:ind w:left="720" w:hanging="360"/>
      </w:pPr>
      <w:rPr>
        <w:rFonts w:ascii="Times New Roman" w:hAnsi="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335E1E"/>
    <w:multiLevelType w:val="hybridMultilevel"/>
    <w:tmpl w:val="F710C0F8"/>
    <w:lvl w:ilvl="0" w:tplc="A84C1326">
      <w:start w:val="1"/>
      <w:numFmt w:val="upperRoman"/>
      <w:lvlText w:val="%1."/>
      <w:lvlJc w:val="left"/>
      <w:pPr>
        <w:ind w:left="822" w:hanging="720"/>
      </w:pPr>
      <w:rPr>
        <w:rFonts w:hint="default"/>
        <w:b/>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 w15:restartNumberingAfterBreak="0">
    <w:nsid w:val="209E7B0D"/>
    <w:multiLevelType w:val="hybridMultilevel"/>
    <w:tmpl w:val="E348E428"/>
    <w:lvl w:ilvl="0" w:tplc="0421000F">
      <w:start w:val="1"/>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926305"/>
    <w:multiLevelType w:val="hybridMultilevel"/>
    <w:tmpl w:val="8F145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F33DD"/>
    <w:multiLevelType w:val="hybridMultilevel"/>
    <w:tmpl w:val="8692F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A97561"/>
    <w:multiLevelType w:val="hybridMultilevel"/>
    <w:tmpl w:val="E3109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3225DCB"/>
    <w:multiLevelType w:val="hybridMultilevel"/>
    <w:tmpl w:val="21BEB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C7D61"/>
    <w:multiLevelType w:val="hybridMultilevel"/>
    <w:tmpl w:val="581C81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7381543"/>
    <w:multiLevelType w:val="multilevel"/>
    <w:tmpl w:val="CEF65A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5BC610B8"/>
    <w:multiLevelType w:val="hybridMultilevel"/>
    <w:tmpl w:val="8C74C0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E12168C"/>
    <w:multiLevelType w:val="hybridMultilevel"/>
    <w:tmpl w:val="C29ED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2F7F47"/>
    <w:multiLevelType w:val="hybridMultilevel"/>
    <w:tmpl w:val="D340C434"/>
    <w:lvl w:ilvl="0" w:tplc="39A26E3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67877B35"/>
    <w:multiLevelType w:val="hybridMultilevel"/>
    <w:tmpl w:val="936E749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67D812B9"/>
    <w:multiLevelType w:val="hybridMultilevel"/>
    <w:tmpl w:val="ABA8C250"/>
    <w:lvl w:ilvl="0" w:tplc="EE1424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68DE5775"/>
    <w:multiLevelType w:val="hybridMultilevel"/>
    <w:tmpl w:val="FACA9B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369566A"/>
    <w:multiLevelType w:val="hybridMultilevel"/>
    <w:tmpl w:val="CB9A642E"/>
    <w:lvl w:ilvl="0" w:tplc="14186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4F06FB4"/>
    <w:multiLevelType w:val="hybridMultilevel"/>
    <w:tmpl w:val="8CAAE0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7"/>
  </w:num>
  <w:num w:numId="3">
    <w:abstractNumId w:val="1"/>
  </w:num>
  <w:num w:numId="4">
    <w:abstractNumId w:val="8"/>
  </w:num>
  <w:num w:numId="5">
    <w:abstractNumId w:val="0"/>
  </w:num>
  <w:num w:numId="6">
    <w:abstractNumId w:val="3"/>
  </w:num>
  <w:num w:numId="7">
    <w:abstractNumId w:val="15"/>
  </w:num>
  <w:num w:numId="8">
    <w:abstractNumId w:val="5"/>
  </w:num>
  <w:num w:numId="9">
    <w:abstractNumId w:val="13"/>
  </w:num>
  <w:num w:numId="10">
    <w:abstractNumId w:val="14"/>
  </w:num>
  <w:num w:numId="11">
    <w:abstractNumId w:val="10"/>
  </w:num>
  <w:num w:numId="12">
    <w:abstractNumId w:val="6"/>
  </w:num>
  <w:num w:numId="13">
    <w:abstractNumId w:val="16"/>
  </w:num>
  <w:num w:numId="14">
    <w:abstractNumId w:val="12"/>
  </w:num>
  <w:num w:numId="15">
    <w:abstractNumId w:val="7"/>
  </w:num>
  <w:num w:numId="16">
    <w:abstractNumId w:val="2"/>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98"/>
    <w:rsid w:val="0000361C"/>
    <w:rsid w:val="000137F6"/>
    <w:rsid w:val="00021B37"/>
    <w:rsid w:val="00025D2F"/>
    <w:rsid w:val="000308EE"/>
    <w:rsid w:val="00070717"/>
    <w:rsid w:val="00073B85"/>
    <w:rsid w:val="000B245B"/>
    <w:rsid w:val="000C433A"/>
    <w:rsid w:val="000D0274"/>
    <w:rsid w:val="000D5567"/>
    <w:rsid w:val="000F2C9E"/>
    <w:rsid w:val="000F3340"/>
    <w:rsid w:val="0010103F"/>
    <w:rsid w:val="00104326"/>
    <w:rsid w:val="00104BA5"/>
    <w:rsid w:val="001063B5"/>
    <w:rsid w:val="001066C9"/>
    <w:rsid w:val="001151B4"/>
    <w:rsid w:val="00125627"/>
    <w:rsid w:val="00131A20"/>
    <w:rsid w:val="00145E62"/>
    <w:rsid w:val="00151CBD"/>
    <w:rsid w:val="00152E8F"/>
    <w:rsid w:val="001537CC"/>
    <w:rsid w:val="00154698"/>
    <w:rsid w:val="00160283"/>
    <w:rsid w:val="0016782A"/>
    <w:rsid w:val="00171B54"/>
    <w:rsid w:val="0017274C"/>
    <w:rsid w:val="00185F3B"/>
    <w:rsid w:val="001A01D0"/>
    <w:rsid w:val="001A1E22"/>
    <w:rsid w:val="001B39A0"/>
    <w:rsid w:val="001B47B0"/>
    <w:rsid w:val="001B4C22"/>
    <w:rsid w:val="001B60ED"/>
    <w:rsid w:val="001C1960"/>
    <w:rsid w:val="001D615A"/>
    <w:rsid w:val="001E107C"/>
    <w:rsid w:val="00205D5C"/>
    <w:rsid w:val="002071AC"/>
    <w:rsid w:val="00224970"/>
    <w:rsid w:val="00225E7C"/>
    <w:rsid w:val="002528E3"/>
    <w:rsid w:val="00263E53"/>
    <w:rsid w:val="00272A21"/>
    <w:rsid w:val="00272B1C"/>
    <w:rsid w:val="002739C8"/>
    <w:rsid w:val="00283840"/>
    <w:rsid w:val="002875CC"/>
    <w:rsid w:val="002B4FE6"/>
    <w:rsid w:val="002D7357"/>
    <w:rsid w:val="002E32B3"/>
    <w:rsid w:val="002E4EE9"/>
    <w:rsid w:val="002F0F10"/>
    <w:rsid w:val="002F2CD2"/>
    <w:rsid w:val="0030155E"/>
    <w:rsid w:val="00302193"/>
    <w:rsid w:val="003039DF"/>
    <w:rsid w:val="00313C4F"/>
    <w:rsid w:val="00337A3E"/>
    <w:rsid w:val="00344E29"/>
    <w:rsid w:val="00374E7B"/>
    <w:rsid w:val="00385CB8"/>
    <w:rsid w:val="003920CB"/>
    <w:rsid w:val="00395831"/>
    <w:rsid w:val="003A19C3"/>
    <w:rsid w:val="003A23CB"/>
    <w:rsid w:val="003C5A66"/>
    <w:rsid w:val="003D0787"/>
    <w:rsid w:val="003D3805"/>
    <w:rsid w:val="003D5B8F"/>
    <w:rsid w:val="003F65CE"/>
    <w:rsid w:val="003F6B4F"/>
    <w:rsid w:val="00401544"/>
    <w:rsid w:val="004079B1"/>
    <w:rsid w:val="00416709"/>
    <w:rsid w:val="00425091"/>
    <w:rsid w:val="0042545F"/>
    <w:rsid w:val="00444613"/>
    <w:rsid w:val="0044578D"/>
    <w:rsid w:val="00453659"/>
    <w:rsid w:val="00462F5A"/>
    <w:rsid w:val="00473881"/>
    <w:rsid w:val="004747E5"/>
    <w:rsid w:val="00474EC0"/>
    <w:rsid w:val="0047672B"/>
    <w:rsid w:val="00487257"/>
    <w:rsid w:val="004A2AC5"/>
    <w:rsid w:val="004A484E"/>
    <w:rsid w:val="004A7FC0"/>
    <w:rsid w:val="004C0128"/>
    <w:rsid w:val="0050406E"/>
    <w:rsid w:val="005169B0"/>
    <w:rsid w:val="00516A96"/>
    <w:rsid w:val="005519F8"/>
    <w:rsid w:val="005555FB"/>
    <w:rsid w:val="00555AA3"/>
    <w:rsid w:val="00561E69"/>
    <w:rsid w:val="00562451"/>
    <w:rsid w:val="005665BE"/>
    <w:rsid w:val="00571C5D"/>
    <w:rsid w:val="00587048"/>
    <w:rsid w:val="00591C9C"/>
    <w:rsid w:val="005A0514"/>
    <w:rsid w:val="005A258C"/>
    <w:rsid w:val="005B51A3"/>
    <w:rsid w:val="005C49CF"/>
    <w:rsid w:val="005C4B23"/>
    <w:rsid w:val="005D6A3D"/>
    <w:rsid w:val="005E03CC"/>
    <w:rsid w:val="005E1F76"/>
    <w:rsid w:val="005E5C90"/>
    <w:rsid w:val="006104C6"/>
    <w:rsid w:val="00625DE1"/>
    <w:rsid w:val="00632858"/>
    <w:rsid w:val="00653636"/>
    <w:rsid w:val="00655925"/>
    <w:rsid w:val="00673B1A"/>
    <w:rsid w:val="00674A43"/>
    <w:rsid w:val="006818D1"/>
    <w:rsid w:val="00693801"/>
    <w:rsid w:val="006C15C3"/>
    <w:rsid w:val="006C50D6"/>
    <w:rsid w:val="006D46E6"/>
    <w:rsid w:val="006D6844"/>
    <w:rsid w:val="006F0FF6"/>
    <w:rsid w:val="006F1BE6"/>
    <w:rsid w:val="006F53D7"/>
    <w:rsid w:val="00706437"/>
    <w:rsid w:val="0072080E"/>
    <w:rsid w:val="00723BBD"/>
    <w:rsid w:val="007240BE"/>
    <w:rsid w:val="007356C6"/>
    <w:rsid w:val="00761C57"/>
    <w:rsid w:val="007722D8"/>
    <w:rsid w:val="007B658D"/>
    <w:rsid w:val="007D7BB8"/>
    <w:rsid w:val="007E78F2"/>
    <w:rsid w:val="007F74A5"/>
    <w:rsid w:val="007F7C30"/>
    <w:rsid w:val="00801F2A"/>
    <w:rsid w:val="0080315B"/>
    <w:rsid w:val="008074B0"/>
    <w:rsid w:val="00811F5A"/>
    <w:rsid w:val="008160A5"/>
    <w:rsid w:val="00827E57"/>
    <w:rsid w:val="0083654C"/>
    <w:rsid w:val="00844265"/>
    <w:rsid w:val="00847AE0"/>
    <w:rsid w:val="0085189B"/>
    <w:rsid w:val="008553E4"/>
    <w:rsid w:val="00857C44"/>
    <w:rsid w:val="008636E0"/>
    <w:rsid w:val="00875FBA"/>
    <w:rsid w:val="00876DB1"/>
    <w:rsid w:val="00881977"/>
    <w:rsid w:val="008901B8"/>
    <w:rsid w:val="008922E5"/>
    <w:rsid w:val="00893630"/>
    <w:rsid w:val="008B4355"/>
    <w:rsid w:val="008F3BD3"/>
    <w:rsid w:val="009202C3"/>
    <w:rsid w:val="00931AB5"/>
    <w:rsid w:val="00940823"/>
    <w:rsid w:val="00950BFB"/>
    <w:rsid w:val="009576B9"/>
    <w:rsid w:val="00964E25"/>
    <w:rsid w:val="009730B6"/>
    <w:rsid w:val="00980A18"/>
    <w:rsid w:val="00991DCE"/>
    <w:rsid w:val="009D75A0"/>
    <w:rsid w:val="009E57F7"/>
    <w:rsid w:val="009F00B7"/>
    <w:rsid w:val="009F15CD"/>
    <w:rsid w:val="009F52B1"/>
    <w:rsid w:val="00A01729"/>
    <w:rsid w:val="00A116C8"/>
    <w:rsid w:val="00A2434E"/>
    <w:rsid w:val="00A25C2F"/>
    <w:rsid w:val="00A35D04"/>
    <w:rsid w:val="00A52AE3"/>
    <w:rsid w:val="00A53A98"/>
    <w:rsid w:val="00A648ED"/>
    <w:rsid w:val="00A653D8"/>
    <w:rsid w:val="00A7305B"/>
    <w:rsid w:val="00A90CFE"/>
    <w:rsid w:val="00A91B9B"/>
    <w:rsid w:val="00A9393B"/>
    <w:rsid w:val="00A95A16"/>
    <w:rsid w:val="00AA4D15"/>
    <w:rsid w:val="00AB3E95"/>
    <w:rsid w:val="00AB448C"/>
    <w:rsid w:val="00AC4CD2"/>
    <w:rsid w:val="00AD5CFA"/>
    <w:rsid w:val="00AE3CC3"/>
    <w:rsid w:val="00B01BE8"/>
    <w:rsid w:val="00B01CC2"/>
    <w:rsid w:val="00B02F06"/>
    <w:rsid w:val="00B055AC"/>
    <w:rsid w:val="00B159BC"/>
    <w:rsid w:val="00B221DC"/>
    <w:rsid w:val="00B37BE0"/>
    <w:rsid w:val="00B47DCC"/>
    <w:rsid w:val="00B53D6D"/>
    <w:rsid w:val="00B64778"/>
    <w:rsid w:val="00B67B79"/>
    <w:rsid w:val="00B934CA"/>
    <w:rsid w:val="00BA12AA"/>
    <w:rsid w:val="00BA1670"/>
    <w:rsid w:val="00BB486F"/>
    <w:rsid w:val="00BC26F7"/>
    <w:rsid w:val="00BD3581"/>
    <w:rsid w:val="00BD37D0"/>
    <w:rsid w:val="00BF2AE0"/>
    <w:rsid w:val="00C018FE"/>
    <w:rsid w:val="00C1516B"/>
    <w:rsid w:val="00C17EE7"/>
    <w:rsid w:val="00C259F7"/>
    <w:rsid w:val="00C2730F"/>
    <w:rsid w:val="00C31ACF"/>
    <w:rsid w:val="00C35234"/>
    <w:rsid w:val="00C82874"/>
    <w:rsid w:val="00C86395"/>
    <w:rsid w:val="00CB1047"/>
    <w:rsid w:val="00CB3FE9"/>
    <w:rsid w:val="00CB7A98"/>
    <w:rsid w:val="00CC1CDE"/>
    <w:rsid w:val="00CC2CB3"/>
    <w:rsid w:val="00CC5FFE"/>
    <w:rsid w:val="00CD2AC9"/>
    <w:rsid w:val="00CD2B42"/>
    <w:rsid w:val="00CD4B2C"/>
    <w:rsid w:val="00CE2F01"/>
    <w:rsid w:val="00CF631C"/>
    <w:rsid w:val="00D042D9"/>
    <w:rsid w:val="00D0701B"/>
    <w:rsid w:val="00D200C8"/>
    <w:rsid w:val="00D3329B"/>
    <w:rsid w:val="00D41922"/>
    <w:rsid w:val="00D4496A"/>
    <w:rsid w:val="00D64C19"/>
    <w:rsid w:val="00D74443"/>
    <w:rsid w:val="00D75835"/>
    <w:rsid w:val="00D75BDD"/>
    <w:rsid w:val="00D85854"/>
    <w:rsid w:val="00D868D1"/>
    <w:rsid w:val="00DA1AB7"/>
    <w:rsid w:val="00DA1EC2"/>
    <w:rsid w:val="00DA75FA"/>
    <w:rsid w:val="00DC0923"/>
    <w:rsid w:val="00DC6B9A"/>
    <w:rsid w:val="00DD65D7"/>
    <w:rsid w:val="00E079C2"/>
    <w:rsid w:val="00E208FB"/>
    <w:rsid w:val="00E22ABD"/>
    <w:rsid w:val="00E23D51"/>
    <w:rsid w:val="00E252AD"/>
    <w:rsid w:val="00E52F8D"/>
    <w:rsid w:val="00E674CF"/>
    <w:rsid w:val="00E74C0A"/>
    <w:rsid w:val="00E8537F"/>
    <w:rsid w:val="00EA299A"/>
    <w:rsid w:val="00EA48DE"/>
    <w:rsid w:val="00EB3999"/>
    <w:rsid w:val="00EC48ED"/>
    <w:rsid w:val="00EC7914"/>
    <w:rsid w:val="00EF16FB"/>
    <w:rsid w:val="00EF31F3"/>
    <w:rsid w:val="00F1059F"/>
    <w:rsid w:val="00F12407"/>
    <w:rsid w:val="00F12A09"/>
    <w:rsid w:val="00F4194F"/>
    <w:rsid w:val="00F535C4"/>
    <w:rsid w:val="00F564CF"/>
    <w:rsid w:val="00F61FD2"/>
    <w:rsid w:val="00F872E8"/>
    <w:rsid w:val="00FA4A29"/>
    <w:rsid w:val="00FA7A80"/>
    <w:rsid w:val="00FB0864"/>
    <w:rsid w:val="00FB0D57"/>
    <w:rsid w:val="00FB76E4"/>
    <w:rsid w:val="00FD0F07"/>
    <w:rsid w:val="00FE0513"/>
    <w:rsid w:val="00FF6B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6CAC92"/>
  <w15:docId w15:val="{3FF733C2-5A1E-4D5C-AD08-A88605AC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2875CC"/>
    <w:rPr>
      <w:color w:val="0000FF" w:themeColor="hyperlink"/>
      <w:u w:val="single"/>
    </w:rPr>
  </w:style>
  <w:style w:type="paragraph" w:styleId="ListParagraph">
    <w:name w:val="List Paragraph"/>
    <w:basedOn w:val="Normal"/>
    <w:uiPriority w:val="34"/>
    <w:qFormat/>
    <w:rsid w:val="005665BE"/>
    <w:pPr>
      <w:spacing w:after="160" w:line="259"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8636E0"/>
    <w:pPr>
      <w:tabs>
        <w:tab w:val="center" w:pos="4513"/>
        <w:tab w:val="right" w:pos="9026"/>
      </w:tabs>
    </w:pPr>
  </w:style>
  <w:style w:type="character" w:customStyle="1" w:styleId="HeaderChar">
    <w:name w:val="Header Char"/>
    <w:basedOn w:val="DefaultParagraphFont"/>
    <w:link w:val="Header"/>
    <w:uiPriority w:val="99"/>
    <w:rsid w:val="008636E0"/>
  </w:style>
  <w:style w:type="paragraph" w:styleId="Footer">
    <w:name w:val="footer"/>
    <w:basedOn w:val="Normal"/>
    <w:link w:val="FooterChar"/>
    <w:uiPriority w:val="99"/>
    <w:unhideWhenUsed/>
    <w:rsid w:val="008636E0"/>
    <w:pPr>
      <w:tabs>
        <w:tab w:val="center" w:pos="4513"/>
        <w:tab w:val="right" w:pos="9026"/>
      </w:tabs>
    </w:pPr>
  </w:style>
  <w:style w:type="character" w:customStyle="1" w:styleId="FooterChar">
    <w:name w:val="Footer Char"/>
    <w:basedOn w:val="DefaultParagraphFont"/>
    <w:link w:val="Footer"/>
    <w:uiPriority w:val="99"/>
    <w:rsid w:val="008636E0"/>
  </w:style>
  <w:style w:type="table" w:styleId="TableGrid">
    <w:name w:val="Table Grid"/>
    <w:basedOn w:val="TableNormal"/>
    <w:uiPriority w:val="59"/>
    <w:rsid w:val="00C27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B245B"/>
    <w:rPr>
      <w:color w:val="605E5C"/>
      <w:shd w:val="clear" w:color="auto" w:fill="E1DFDD"/>
    </w:rPr>
  </w:style>
  <w:style w:type="character" w:styleId="CommentReference">
    <w:name w:val="annotation reference"/>
    <w:basedOn w:val="DefaultParagraphFont"/>
    <w:uiPriority w:val="99"/>
    <w:semiHidden/>
    <w:unhideWhenUsed/>
    <w:rsid w:val="00D74443"/>
    <w:rPr>
      <w:sz w:val="16"/>
      <w:szCs w:val="16"/>
    </w:rPr>
  </w:style>
  <w:style w:type="paragraph" w:styleId="CommentText">
    <w:name w:val="annotation text"/>
    <w:basedOn w:val="Normal"/>
    <w:link w:val="CommentTextChar"/>
    <w:uiPriority w:val="99"/>
    <w:semiHidden/>
    <w:unhideWhenUsed/>
    <w:rsid w:val="00D74443"/>
  </w:style>
  <w:style w:type="character" w:customStyle="1" w:styleId="CommentTextChar">
    <w:name w:val="Comment Text Char"/>
    <w:basedOn w:val="DefaultParagraphFont"/>
    <w:link w:val="CommentText"/>
    <w:uiPriority w:val="99"/>
    <w:semiHidden/>
    <w:rsid w:val="00D74443"/>
  </w:style>
  <w:style w:type="paragraph" w:styleId="CommentSubject">
    <w:name w:val="annotation subject"/>
    <w:basedOn w:val="CommentText"/>
    <w:next w:val="CommentText"/>
    <w:link w:val="CommentSubjectChar"/>
    <w:uiPriority w:val="99"/>
    <w:semiHidden/>
    <w:unhideWhenUsed/>
    <w:rsid w:val="00D74443"/>
    <w:rPr>
      <w:b/>
      <w:bCs/>
    </w:rPr>
  </w:style>
  <w:style w:type="character" w:customStyle="1" w:styleId="CommentSubjectChar">
    <w:name w:val="Comment Subject Char"/>
    <w:basedOn w:val="CommentTextChar"/>
    <w:link w:val="CommentSubject"/>
    <w:uiPriority w:val="99"/>
    <w:semiHidden/>
    <w:rsid w:val="00D74443"/>
    <w:rPr>
      <w:b/>
      <w:bCs/>
    </w:rPr>
  </w:style>
  <w:style w:type="paragraph" w:styleId="NoSpacing">
    <w:name w:val="No Spacing"/>
    <w:uiPriority w:val="1"/>
    <w:qFormat/>
    <w:rsid w:val="00313C4F"/>
  </w:style>
  <w:style w:type="paragraph" w:styleId="BalloonText">
    <w:name w:val="Balloon Text"/>
    <w:basedOn w:val="Normal"/>
    <w:link w:val="BalloonTextChar"/>
    <w:uiPriority w:val="99"/>
    <w:semiHidden/>
    <w:unhideWhenUsed/>
    <w:rsid w:val="002739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9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05742">
      <w:bodyDiv w:val="1"/>
      <w:marLeft w:val="0"/>
      <w:marRight w:val="0"/>
      <w:marTop w:val="0"/>
      <w:marBottom w:val="0"/>
      <w:divBdr>
        <w:top w:val="none" w:sz="0" w:space="0" w:color="auto"/>
        <w:left w:val="none" w:sz="0" w:space="0" w:color="auto"/>
        <w:bottom w:val="none" w:sz="0" w:space="0" w:color="auto"/>
        <w:right w:val="none" w:sz="0" w:space="0" w:color="auto"/>
      </w:divBdr>
      <w:divsChild>
        <w:div w:id="637227238">
          <w:marLeft w:val="0"/>
          <w:marRight w:val="0"/>
          <w:marTop w:val="0"/>
          <w:marBottom w:val="0"/>
          <w:divBdr>
            <w:top w:val="none" w:sz="0" w:space="0" w:color="auto"/>
            <w:left w:val="none" w:sz="0" w:space="0" w:color="auto"/>
            <w:bottom w:val="none" w:sz="0" w:space="0" w:color="auto"/>
            <w:right w:val="none" w:sz="0" w:space="0" w:color="auto"/>
          </w:divBdr>
        </w:div>
        <w:div w:id="650212262">
          <w:marLeft w:val="0"/>
          <w:marRight w:val="0"/>
          <w:marTop w:val="0"/>
          <w:marBottom w:val="0"/>
          <w:divBdr>
            <w:top w:val="none" w:sz="0" w:space="0" w:color="auto"/>
            <w:left w:val="none" w:sz="0" w:space="0" w:color="auto"/>
            <w:bottom w:val="none" w:sz="0" w:space="0" w:color="auto"/>
            <w:right w:val="none" w:sz="0" w:space="0" w:color="auto"/>
          </w:divBdr>
        </w:div>
        <w:div w:id="1424912200">
          <w:marLeft w:val="0"/>
          <w:marRight w:val="0"/>
          <w:marTop w:val="0"/>
          <w:marBottom w:val="0"/>
          <w:divBdr>
            <w:top w:val="none" w:sz="0" w:space="0" w:color="auto"/>
            <w:left w:val="none" w:sz="0" w:space="0" w:color="auto"/>
            <w:bottom w:val="none" w:sz="0" w:space="0" w:color="auto"/>
            <w:right w:val="none" w:sz="0" w:space="0" w:color="auto"/>
          </w:divBdr>
        </w:div>
        <w:div w:id="1461725911">
          <w:marLeft w:val="0"/>
          <w:marRight w:val="0"/>
          <w:marTop w:val="0"/>
          <w:marBottom w:val="0"/>
          <w:divBdr>
            <w:top w:val="none" w:sz="0" w:space="0" w:color="auto"/>
            <w:left w:val="none" w:sz="0" w:space="0" w:color="auto"/>
            <w:bottom w:val="none" w:sz="0" w:space="0" w:color="auto"/>
            <w:right w:val="none" w:sz="0" w:space="0" w:color="auto"/>
          </w:divBdr>
        </w:div>
        <w:div w:id="119078974">
          <w:marLeft w:val="0"/>
          <w:marRight w:val="0"/>
          <w:marTop w:val="0"/>
          <w:marBottom w:val="0"/>
          <w:divBdr>
            <w:top w:val="none" w:sz="0" w:space="0" w:color="auto"/>
            <w:left w:val="none" w:sz="0" w:space="0" w:color="auto"/>
            <w:bottom w:val="none" w:sz="0" w:space="0" w:color="auto"/>
            <w:right w:val="none" w:sz="0" w:space="0" w:color="auto"/>
          </w:divBdr>
        </w:div>
        <w:div w:id="1623878998">
          <w:marLeft w:val="0"/>
          <w:marRight w:val="0"/>
          <w:marTop w:val="0"/>
          <w:marBottom w:val="0"/>
          <w:divBdr>
            <w:top w:val="none" w:sz="0" w:space="0" w:color="auto"/>
            <w:left w:val="none" w:sz="0" w:space="0" w:color="auto"/>
            <w:bottom w:val="none" w:sz="0" w:space="0" w:color="auto"/>
            <w:right w:val="none" w:sz="0" w:space="0" w:color="auto"/>
          </w:divBdr>
        </w:div>
        <w:div w:id="591544856">
          <w:marLeft w:val="0"/>
          <w:marRight w:val="0"/>
          <w:marTop w:val="0"/>
          <w:marBottom w:val="0"/>
          <w:divBdr>
            <w:top w:val="none" w:sz="0" w:space="0" w:color="auto"/>
            <w:left w:val="none" w:sz="0" w:space="0" w:color="auto"/>
            <w:bottom w:val="none" w:sz="0" w:space="0" w:color="auto"/>
            <w:right w:val="none" w:sz="0" w:space="0" w:color="auto"/>
          </w:divBdr>
        </w:div>
        <w:div w:id="1071542449">
          <w:marLeft w:val="0"/>
          <w:marRight w:val="0"/>
          <w:marTop w:val="0"/>
          <w:marBottom w:val="0"/>
          <w:divBdr>
            <w:top w:val="none" w:sz="0" w:space="0" w:color="auto"/>
            <w:left w:val="none" w:sz="0" w:space="0" w:color="auto"/>
            <w:bottom w:val="none" w:sz="0" w:space="0" w:color="auto"/>
            <w:right w:val="none" w:sz="0" w:space="0" w:color="auto"/>
          </w:divBdr>
        </w:div>
        <w:div w:id="1771702736">
          <w:marLeft w:val="0"/>
          <w:marRight w:val="0"/>
          <w:marTop w:val="0"/>
          <w:marBottom w:val="0"/>
          <w:divBdr>
            <w:top w:val="none" w:sz="0" w:space="0" w:color="auto"/>
            <w:left w:val="none" w:sz="0" w:space="0" w:color="auto"/>
            <w:bottom w:val="none" w:sz="0" w:space="0" w:color="auto"/>
            <w:right w:val="none" w:sz="0" w:space="0" w:color="auto"/>
          </w:divBdr>
        </w:div>
        <w:div w:id="2076932696">
          <w:marLeft w:val="0"/>
          <w:marRight w:val="0"/>
          <w:marTop w:val="0"/>
          <w:marBottom w:val="0"/>
          <w:divBdr>
            <w:top w:val="none" w:sz="0" w:space="0" w:color="auto"/>
            <w:left w:val="none" w:sz="0" w:space="0" w:color="auto"/>
            <w:bottom w:val="none" w:sz="0" w:space="0" w:color="auto"/>
            <w:right w:val="none" w:sz="0" w:space="0" w:color="auto"/>
          </w:divBdr>
        </w:div>
        <w:div w:id="1088431451">
          <w:marLeft w:val="0"/>
          <w:marRight w:val="0"/>
          <w:marTop w:val="0"/>
          <w:marBottom w:val="0"/>
          <w:divBdr>
            <w:top w:val="none" w:sz="0" w:space="0" w:color="auto"/>
            <w:left w:val="none" w:sz="0" w:space="0" w:color="auto"/>
            <w:bottom w:val="none" w:sz="0" w:space="0" w:color="auto"/>
            <w:right w:val="none" w:sz="0" w:space="0" w:color="auto"/>
          </w:divBdr>
        </w:div>
        <w:div w:id="720128501">
          <w:marLeft w:val="0"/>
          <w:marRight w:val="0"/>
          <w:marTop w:val="0"/>
          <w:marBottom w:val="0"/>
          <w:divBdr>
            <w:top w:val="none" w:sz="0" w:space="0" w:color="auto"/>
            <w:left w:val="none" w:sz="0" w:space="0" w:color="auto"/>
            <w:bottom w:val="none" w:sz="0" w:space="0" w:color="auto"/>
            <w:right w:val="none" w:sz="0" w:space="0" w:color="auto"/>
          </w:divBdr>
        </w:div>
        <w:div w:id="1507011178">
          <w:marLeft w:val="0"/>
          <w:marRight w:val="0"/>
          <w:marTop w:val="0"/>
          <w:marBottom w:val="0"/>
          <w:divBdr>
            <w:top w:val="none" w:sz="0" w:space="0" w:color="auto"/>
            <w:left w:val="none" w:sz="0" w:space="0" w:color="auto"/>
            <w:bottom w:val="none" w:sz="0" w:space="0" w:color="auto"/>
            <w:right w:val="none" w:sz="0" w:space="0" w:color="auto"/>
          </w:divBdr>
        </w:div>
        <w:div w:id="1233925597">
          <w:marLeft w:val="0"/>
          <w:marRight w:val="0"/>
          <w:marTop w:val="0"/>
          <w:marBottom w:val="0"/>
          <w:divBdr>
            <w:top w:val="none" w:sz="0" w:space="0" w:color="auto"/>
            <w:left w:val="none" w:sz="0" w:space="0" w:color="auto"/>
            <w:bottom w:val="none" w:sz="0" w:space="0" w:color="auto"/>
            <w:right w:val="none" w:sz="0" w:space="0" w:color="auto"/>
          </w:divBdr>
        </w:div>
        <w:div w:id="165681549">
          <w:marLeft w:val="0"/>
          <w:marRight w:val="0"/>
          <w:marTop w:val="0"/>
          <w:marBottom w:val="0"/>
          <w:divBdr>
            <w:top w:val="none" w:sz="0" w:space="0" w:color="auto"/>
            <w:left w:val="none" w:sz="0" w:space="0" w:color="auto"/>
            <w:bottom w:val="none" w:sz="0" w:space="0" w:color="auto"/>
            <w:right w:val="none" w:sz="0" w:space="0" w:color="auto"/>
          </w:divBdr>
        </w:div>
        <w:div w:id="1314069885">
          <w:marLeft w:val="0"/>
          <w:marRight w:val="0"/>
          <w:marTop w:val="0"/>
          <w:marBottom w:val="0"/>
          <w:divBdr>
            <w:top w:val="none" w:sz="0" w:space="0" w:color="auto"/>
            <w:left w:val="none" w:sz="0" w:space="0" w:color="auto"/>
            <w:bottom w:val="none" w:sz="0" w:space="0" w:color="auto"/>
            <w:right w:val="none" w:sz="0" w:space="0" w:color="auto"/>
          </w:divBdr>
        </w:div>
        <w:div w:id="1538471546">
          <w:marLeft w:val="0"/>
          <w:marRight w:val="0"/>
          <w:marTop w:val="0"/>
          <w:marBottom w:val="0"/>
          <w:divBdr>
            <w:top w:val="none" w:sz="0" w:space="0" w:color="auto"/>
            <w:left w:val="none" w:sz="0" w:space="0" w:color="auto"/>
            <w:bottom w:val="none" w:sz="0" w:space="0" w:color="auto"/>
            <w:right w:val="none" w:sz="0" w:space="0" w:color="auto"/>
          </w:divBdr>
        </w:div>
        <w:div w:id="2034643455">
          <w:marLeft w:val="0"/>
          <w:marRight w:val="0"/>
          <w:marTop w:val="0"/>
          <w:marBottom w:val="0"/>
          <w:divBdr>
            <w:top w:val="none" w:sz="0" w:space="0" w:color="auto"/>
            <w:left w:val="none" w:sz="0" w:space="0" w:color="auto"/>
            <w:bottom w:val="none" w:sz="0" w:space="0" w:color="auto"/>
            <w:right w:val="none" w:sz="0" w:space="0" w:color="auto"/>
          </w:divBdr>
        </w:div>
        <w:div w:id="729307511">
          <w:marLeft w:val="0"/>
          <w:marRight w:val="0"/>
          <w:marTop w:val="0"/>
          <w:marBottom w:val="0"/>
          <w:divBdr>
            <w:top w:val="none" w:sz="0" w:space="0" w:color="auto"/>
            <w:left w:val="none" w:sz="0" w:space="0" w:color="auto"/>
            <w:bottom w:val="none" w:sz="0" w:space="0" w:color="auto"/>
            <w:right w:val="none" w:sz="0" w:space="0" w:color="auto"/>
          </w:divBdr>
        </w:div>
        <w:div w:id="1512792577">
          <w:marLeft w:val="0"/>
          <w:marRight w:val="0"/>
          <w:marTop w:val="0"/>
          <w:marBottom w:val="0"/>
          <w:divBdr>
            <w:top w:val="none" w:sz="0" w:space="0" w:color="auto"/>
            <w:left w:val="none" w:sz="0" w:space="0" w:color="auto"/>
            <w:bottom w:val="none" w:sz="0" w:space="0" w:color="auto"/>
            <w:right w:val="none" w:sz="0" w:space="0" w:color="auto"/>
          </w:divBdr>
        </w:div>
        <w:div w:id="1453985583">
          <w:marLeft w:val="0"/>
          <w:marRight w:val="0"/>
          <w:marTop w:val="0"/>
          <w:marBottom w:val="0"/>
          <w:divBdr>
            <w:top w:val="none" w:sz="0" w:space="0" w:color="auto"/>
            <w:left w:val="none" w:sz="0" w:space="0" w:color="auto"/>
            <w:bottom w:val="none" w:sz="0" w:space="0" w:color="auto"/>
            <w:right w:val="none" w:sz="0" w:space="0" w:color="auto"/>
          </w:divBdr>
        </w:div>
        <w:div w:id="2058578728">
          <w:marLeft w:val="0"/>
          <w:marRight w:val="0"/>
          <w:marTop w:val="0"/>
          <w:marBottom w:val="0"/>
          <w:divBdr>
            <w:top w:val="none" w:sz="0" w:space="0" w:color="auto"/>
            <w:left w:val="none" w:sz="0" w:space="0" w:color="auto"/>
            <w:bottom w:val="none" w:sz="0" w:space="0" w:color="auto"/>
            <w:right w:val="none" w:sz="0" w:space="0" w:color="auto"/>
          </w:divBdr>
        </w:div>
        <w:div w:id="327446618">
          <w:marLeft w:val="0"/>
          <w:marRight w:val="0"/>
          <w:marTop w:val="0"/>
          <w:marBottom w:val="0"/>
          <w:divBdr>
            <w:top w:val="none" w:sz="0" w:space="0" w:color="auto"/>
            <w:left w:val="none" w:sz="0" w:space="0" w:color="auto"/>
            <w:bottom w:val="none" w:sz="0" w:space="0" w:color="auto"/>
            <w:right w:val="none" w:sz="0" w:space="0" w:color="auto"/>
          </w:divBdr>
        </w:div>
        <w:div w:id="1300301308">
          <w:marLeft w:val="0"/>
          <w:marRight w:val="0"/>
          <w:marTop w:val="0"/>
          <w:marBottom w:val="0"/>
          <w:divBdr>
            <w:top w:val="none" w:sz="0" w:space="0" w:color="auto"/>
            <w:left w:val="none" w:sz="0" w:space="0" w:color="auto"/>
            <w:bottom w:val="none" w:sz="0" w:space="0" w:color="auto"/>
            <w:right w:val="none" w:sz="0" w:space="0" w:color="auto"/>
          </w:divBdr>
        </w:div>
        <w:div w:id="356739704">
          <w:marLeft w:val="0"/>
          <w:marRight w:val="0"/>
          <w:marTop w:val="0"/>
          <w:marBottom w:val="0"/>
          <w:divBdr>
            <w:top w:val="none" w:sz="0" w:space="0" w:color="auto"/>
            <w:left w:val="none" w:sz="0" w:space="0" w:color="auto"/>
            <w:bottom w:val="none" w:sz="0" w:space="0" w:color="auto"/>
            <w:right w:val="none" w:sz="0" w:space="0" w:color="auto"/>
          </w:divBdr>
        </w:div>
      </w:divsChild>
    </w:div>
    <w:div w:id="1865752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uji24318@gmail.com"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D0E19-5BDC-4F2E-9DDD-BF31CA18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4905</TotalTime>
  <Pages>8</Pages>
  <Words>7892</Words>
  <Characters>44988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ENI</cp:lastModifiedBy>
  <cp:revision>113</cp:revision>
  <dcterms:created xsi:type="dcterms:W3CDTF">2022-08-24T07:04:00Z</dcterms:created>
  <dcterms:modified xsi:type="dcterms:W3CDTF">2023-11-04T07:42:00Z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b11836e3-9860-300f-bbfb-750de3f27632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